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bin" ContentType="application/vnd.openxmlformats-officedocument.wordprocessingml.printerSettings"/>
  <Default Extension="png" ContentType="image/pn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B7" w:rsidRPr="00CD7DB7" w:rsidRDefault="00CD7DB7" w:rsidP="00CD7DB7">
      <w:pPr>
        <w:pStyle w:val="head10"/>
        <w:rPr>
          <w:w w:val="107"/>
          <w:lang w:val="en-GB"/>
        </w:rPr>
      </w:pPr>
      <w:proofErr w:type="spellStart"/>
      <w:r w:rsidRPr="00CD7DB7">
        <w:rPr>
          <w:w w:val="107"/>
          <w:lang w:val="en-GB"/>
        </w:rPr>
        <w:t>Trigo</w:t>
      </w:r>
      <w:proofErr w:type="spellEnd"/>
      <w:r w:rsidRPr="00CD7DB7">
        <w:rPr>
          <w:w w:val="107"/>
          <w:lang w:val="en-GB"/>
        </w:rPr>
        <w:t xml:space="preserve"> – three light distributions for sustainable urban lighting and timeless simpl</w:t>
      </w:r>
      <w:r w:rsidRPr="00CD7DB7">
        <w:rPr>
          <w:w w:val="107"/>
          <w:lang w:val="en-GB"/>
        </w:rPr>
        <w:t>i</w:t>
      </w:r>
      <w:r w:rsidRPr="00CD7DB7">
        <w:rPr>
          <w:w w:val="107"/>
          <w:lang w:val="en-GB"/>
        </w:rPr>
        <w:t>city</w:t>
      </w:r>
    </w:p>
    <w:p w:rsidR="00CD7DB7" w:rsidRPr="00CD7DB7" w:rsidRDefault="00CD7DB7" w:rsidP="00CD7DB7">
      <w:pPr>
        <w:pStyle w:val="Teaser"/>
        <w:rPr>
          <w:w w:val="107"/>
          <w:lang w:val="en-GB" w:eastAsia="de-DE"/>
        </w:rPr>
      </w:pPr>
      <w:r w:rsidRPr="00CD7DB7">
        <w:rPr>
          <w:w w:val="107"/>
          <w:lang w:val="en-GB" w:eastAsia="de-DE"/>
        </w:rPr>
        <w:t xml:space="preserve">The </w:t>
      </w:r>
      <w:proofErr w:type="spellStart"/>
      <w:r w:rsidRPr="00CD7DB7">
        <w:rPr>
          <w:w w:val="107"/>
          <w:lang w:val="en-GB" w:eastAsia="de-DE"/>
        </w:rPr>
        <w:t>Trigo</w:t>
      </w:r>
      <w:proofErr w:type="spellEnd"/>
      <w:r w:rsidRPr="00CD7DB7">
        <w:rPr>
          <w:w w:val="107"/>
          <w:lang w:val="en-GB" w:eastAsia="de-DE"/>
        </w:rPr>
        <w:t xml:space="preserve"> pole-top </w:t>
      </w:r>
      <w:proofErr w:type="spellStart"/>
      <w:r w:rsidRPr="00CD7DB7">
        <w:rPr>
          <w:w w:val="107"/>
          <w:lang w:val="en-GB" w:eastAsia="de-DE"/>
        </w:rPr>
        <w:t>luminaire</w:t>
      </w:r>
      <w:proofErr w:type="spellEnd"/>
      <w:r w:rsidRPr="00CD7DB7">
        <w:rPr>
          <w:w w:val="107"/>
          <w:lang w:val="en-GB" w:eastAsia="de-DE"/>
        </w:rPr>
        <w:t xml:space="preserve"> combines a timeless, elegant design with eff</w:t>
      </w:r>
      <w:r w:rsidRPr="00CD7DB7">
        <w:rPr>
          <w:w w:val="107"/>
          <w:lang w:val="en-GB" w:eastAsia="de-DE"/>
        </w:rPr>
        <w:t>i</w:t>
      </w:r>
      <w:r w:rsidRPr="00CD7DB7">
        <w:rPr>
          <w:w w:val="107"/>
          <w:lang w:val="en-GB" w:eastAsia="de-DE"/>
        </w:rPr>
        <w:t xml:space="preserve">cient technology ensuring optimal lighting for pathways, </w:t>
      </w:r>
      <w:proofErr w:type="spellStart"/>
      <w:r w:rsidRPr="00CD7DB7">
        <w:rPr>
          <w:w w:val="107"/>
          <w:lang w:val="en-GB" w:eastAsia="de-DE"/>
        </w:rPr>
        <w:t>pede</w:t>
      </w:r>
      <w:r w:rsidRPr="00CD7DB7">
        <w:rPr>
          <w:w w:val="107"/>
          <w:lang w:val="en-GB" w:eastAsia="de-DE"/>
        </w:rPr>
        <w:t>s</w:t>
      </w:r>
      <w:r w:rsidRPr="00CD7DB7">
        <w:rPr>
          <w:w w:val="107"/>
          <w:lang w:val="en-GB" w:eastAsia="de-DE"/>
        </w:rPr>
        <w:t>trianised</w:t>
      </w:r>
      <w:proofErr w:type="spellEnd"/>
      <w:r w:rsidRPr="00CD7DB7">
        <w:rPr>
          <w:w w:val="107"/>
          <w:lang w:val="en-GB" w:eastAsia="de-DE"/>
        </w:rPr>
        <w:t xml:space="preserve"> areas and parks. With three light distributions and optional Comfort Optic for extra visual comfort, </w:t>
      </w:r>
      <w:proofErr w:type="spellStart"/>
      <w:r w:rsidRPr="00CD7DB7">
        <w:rPr>
          <w:w w:val="107"/>
          <w:lang w:val="en-GB" w:eastAsia="de-DE"/>
        </w:rPr>
        <w:t>Trigo</w:t>
      </w:r>
      <w:proofErr w:type="spellEnd"/>
      <w:r w:rsidRPr="00CD7DB7">
        <w:rPr>
          <w:w w:val="107"/>
          <w:lang w:val="en-GB" w:eastAsia="de-DE"/>
        </w:rPr>
        <w:t xml:space="preserve"> can be used for a wide range of light pla</w:t>
      </w:r>
      <w:r w:rsidRPr="00CD7DB7">
        <w:rPr>
          <w:w w:val="107"/>
          <w:lang w:val="en-GB" w:eastAsia="de-DE"/>
        </w:rPr>
        <w:t>n</w:t>
      </w:r>
      <w:r w:rsidRPr="00CD7DB7">
        <w:rPr>
          <w:w w:val="107"/>
          <w:lang w:val="en-GB" w:eastAsia="de-DE"/>
        </w:rPr>
        <w:t>ning applications in urban areas.</w:t>
      </w:r>
    </w:p>
    <w:p w:rsidR="00CD7DB7" w:rsidRPr="00CD7DB7" w:rsidRDefault="00CD7DB7" w:rsidP="00CD7DB7">
      <w:pPr>
        <w:pStyle w:val="Fliess"/>
        <w:spacing w:after="160"/>
        <w:rPr>
          <w:rFonts w:ascii="BrownStd-Light" w:hAnsi="BrownStd-Light" w:cs="BrownStd-Light"/>
          <w:spacing w:val="2"/>
          <w:w w:val="107"/>
          <w:lang w:val="en-GB" w:eastAsia="de-DE"/>
        </w:rPr>
      </w:pPr>
      <w:proofErr w:type="spellStart"/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>Selux</w:t>
      </w:r>
      <w:proofErr w:type="spellEnd"/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 xml:space="preserve">´ </w:t>
      </w:r>
      <w:proofErr w:type="spellStart"/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>Trigo</w:t>
      </w:r>
      <w:proofErr w:type="spellEnd"/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 xml:space="preserve"> sees the launch of a highly efficient, low-cost exterior LED </w:t>
      </w:r>
      <w:proofErr w:type="spellStart"/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>l</w:t>
      </w:r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>u</w:t>
      </w:r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>minaire</w:t>
      </w:r>
      <w:proofErr w:type="spellEnd"/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 xml:space="preserve"> that is suitable both for upgrading existing lighting systems and as a new i</w:t>
      </w:r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>n</w:t>
      </w:r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 xml:space="preserve">stallation in the widest variety of urban environments. Needless to say, the </w:t>
      </w:r>
      <w:proofErr w:type="spellStart"/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>luminaire</w:t>
      </w:r>
      <w:proofErr w:type="spellEnd"/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 xml:space="preserve"> meets the criteria for protection class IP65 and can be installed d</w:t>
      </w:r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>i</w:t>
      </w:r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>rectly onto standard poles. The three available directional cha</w:t>
      </w:r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>r</w:t>
      </w:r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 xml:space="preserve">acteristics cover a wide range of application areas – besides the variant for symmetrical </w:t>
      </w:r>
      <w:proofErr w:type="gramStart"/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>360 degree</w:t>
      </w:r>
      <w:proofErr w:type="gramEnd"/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 xml:space="preserve"> illumination, there are two asymmetrical variants for roadways and squares, the latter of which radiates over a particularly wide area.</w:t>
      </w:r>
    </w:p>
    <w:p w:rsidR="00CD7DB7" w:rsidRPr="00CD7DB7" w:rsidRDefault="00CD7DB7" w:rsidP="00CD7DB7">
      <w:pPr>
        <w:pStyle w:val="Fliess"/>
        <w:rPr>
          <w:rFonts w:ascii="BrownStd-Light" w:hAnsi="BrownStd-Light" w:cs="BrownStd-Light"/>
          <w:spacing w:val="2"/>
          <w:w w:val="107"/>
          <w:lang w:val="en-GB" w:eastAsia="de-DE"/>
        </w:rPr>
      </w:pPr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 xml:space="preserve">Each of the three variants is available in two light colours – 3,000 K and 4,500 K – for a choice of a warmer or cooler urban look. These multiple variants enable variegated lighting requirements and a consistent design – a strong argument in the </w:t>
      </w:r>
      <w:proofErr w:type="spellStart"/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>Trigo’s</w:t>
      </w:r>
      <w:proofErr w:type="spellEnd"/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 xml:space="preserve"> favour.</w:t>
      </w:r>
    </w:p>
    <w:p w:rsidR="00CD7DB7" w:rsidRPr="00CD7DB7" w:rsidRDefault="00CD7DB7" w:rsidP="00CD7DB7">
      <w:pPr>
        <w:pStyle w:val="head20"/>
        <w:rPr>
          <w:w w:val="107"/>
          <w:lang w:val="en-GB"/>
        </w:rPr>
      </w:pPr>
      <w:r w:rsidRPr="00CD7DB7">
        <w:rPr>
          <w:w w:val="107"/>
          <w:lang w:val="en-GB"/>
        </w:rPr>
        <w:t xml:space="preserve">Proven lighting technology – developed by </w:t>
      </w:r>
      <w:proofErr w:type="spellStart"/>
      <w:r w:rsidRPr="00CD7DB7">
        <w:rPr>
          <w:w w:val="107"/>
          <w:lang w:val="en-GB"/>
        </w:rPr>
        <w:t>Selux</w:t>
      </w:r>
      <w:proofErr w:type="spellEnd"/>
    </w:p>
    <w:p w:rsidR="00CD7DB7" w:rsidRPr="00CD7DB7" w:rsidRDefault="00CD7DB7" w:rsidP="00CD7DB7">
      <w:pPr>
        <w:pStyle w:val="Fliess"/>
        <w:rPr>
          <w:rFonts w:ascii="BrownStd-Light" w:hAnsi="BrownStd-Light" w:cs="BrownStd-Light"/>
          <w:spacing w:val="2"/>
          <w:w w:val="107"/>
          <w:lang w:val="en-GB" w:eastAsia="de-DE"/>
        </w:rPr>
      </w:pPr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 xml:space="preserve">For each of its directional characteristics, </w:t>
      </w:r>
      <w:proofErr w:type="spellStart"/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>Selux</w:t>
      </w:r>
      <w:proofErr w:type="spellEnd"/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 xml:space="preserve"> has developed a special, self-contained light module comprising </w:t>
      </w:r>
      <w:proofErr w:type="spellStart"/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>LEDs</w:t>
      </w:r>
      <w:proofErr w:type="spellEnd"/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>, reflectors and installation unit. This integral system combines a high level of visual comfort in the form of excellent anti-glare properties with maximum efficiency enabling these light modules, which radiate directly downwards only, to attain a system efficiency of more than 100 lumens per watt.</w:t>
      </w:r>
    </w:p>
    <w:p w:rsidR="00CD7DB7" w:rsidRPr="00CD7DB7" w:rsidRDefault="00CD7DB7" w:rsidP="00CD7DB7">
      <w:pPr>
        <w:pStyle w:val="head20"/>
        <w:rPr>
          <w:w w:val="107"/>
          <w:lang w:val="en-GB"/>
        </w:rPr>
      </w:pPr>
      <w:r w:rsidRPr="00CD7DB7">
        <w:rPr>
          <w:w w:val="107"/>
          <w:lang w:val="en-GB"/>
        </w:rPr>
        <w:t>Comfort Optic for particularly homogeneous light</w:t>
      </w:r>
    </w:p>
    <w:p w:rsidR="00CD7DB7" w:rsidRPr="00CD7DB7" w:rsidRDefault="00CD7DB7" w:rsidP="00CD7DB7">
      <w:pPr>
        <w:pStyle w:val="Fliess"/>
        <w:rPr>
          <w:rFonts w:ascii="BrownStd-Light" w:hAnsi="BrownStd-Light" w:cs="BrownStd-Light"/>
          <w:spacing w:val="2"/>
          <w:w w:val="107"/>
          <w:lang w:val="en-GB" w:eastAsia="de-DE"/>
        </w:rPr>
      </w:pPr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>All variants can optionally be equipped with the Comfort Optic. This</w:t>
      </w:r>
      <w:r>
        <w:rPr>
          <w:rFonts w:ascii="BrownStd-Light" w:hAnsi="BrownStd-Light" w:cs="BrownStd-Light"/>
          <w:spacing w:val="2"/>
          <w:w w:val="107"/>
          <w:lang w:val="en-GB" w:eastAsia="de-DE"/>
        </w:rPr>
        <w:t xml:space="preserve"> </w:t>
      </w:r>
      <w:r w:rsidRPr="00CD7DB7">
        <w:rPr>
          <w:rFonts w:ascii="BrownStd-Light" w:hAnsi="BrownStd-Light" w:cs="BrownStd-Light"/>
          <w:spacing w:val="1"/>
          <w:w w:val="107"/>
          <w:lang w:val="en-GB" w:eastAsia="de-DE"/>
        </w:rPr>
        <w:t>tran</w:t>
      </w:r>
      <w:r w:rsidRPr="00CD7DB7">
        <w:rPr>
          <w:rFonts w:ascii="BrownStd-Light" w:hAnsi="BrownStd-Light" w:cs="BrownStd-Light"/>
          <w:spacing w:val="1"/>
          <w:w w:val="107"/>
          <w:lang w:val="en-GB" w:eastAsia="de-DE"/>
        </w:rPr>
        <w:t>s</w:t>
      </w:r>
      <w:r w:rsidRPr="00CD7DB7">
        <w:rPr>
          <w:rFonts w:ascii="BrownStd-Light" w:hAnsi="BrownStd-Light" w:cs="BrownStd-Light"/>
          <w:spacing w:val="1"/>
          <w:w w:val="107"/>
          <w:lang w:val="en-GB" w:eastAsia="de-DE"/>
        </w:rPr>
        <w:t>parent, spherical diffuser with a special prismatic structure distributes</w:t>
      </w:r>
      <w:r>
        <w:rPr>
          <w:rFonts w:ascii="BrownStd-Light" w:hAnsi="BrownStd-Light" w:cs="BrownStd-Light"/>
          <w:spacing w:val="2"/>
          <w:w w:val="107"/>
          <w:lang w:val="en-GB" w:eastAsia="de-DE"/>
        </w:rPr>
        <w:t xml:space="preserve"> </w:t>
      </w:r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>light energy across the entire light exit area, generating a homogeneous, soft glare-free light, making it ideal for situations such as residential areas where a particularly high level of visual comfort are essential.</w:t>
      </w:r>
    </w:p>
    <w:p w:rsidR="00CD7DB7" w:rsidRPr="00CD7DB7" w:rsidRDefault="00CD7DB7" w:rsidP="00CD7DB7">
      <w:pPr>
        <w:pStyle w:val="head20"/>
        <w:rPr>
          <w:w w:val="107"/>
          <w:lang w:val="en-GB"/>
        </w:rPr>
      </w:pPr>
      <w:r w:rsidRPr="00CD7DB7">
        <w:rPr>
          <w:w w:val="107"/>
          <w:lang w:val="en-GB"/>
        </w:rPr>
        <w:t>Programmable power adjustment</w:t>
      </w:r>
    </w:p>
    <w:p w:rsidR="00CD7DB7" w:rsidRPr="00CD7DB7" w:rsidRDefault="00CD7DB7" w:rsidP="00CD7DB7">
      <w:pPr>
        <w:pStyle w:val="Fliess"/>
        <w:rPr>
          <w:rFonts w:ascii="BrownStd-Light" w:hAnsi="BrownStd-Light" w:cs="BrownStd-Light"/>
          <w:spacing w:val="2"/>
          <w:w w:val="107"/>
          <w:lang w:val="en-GB" w:eastAsia="de-DE"/>
        </w:rPr>
      </w:pPr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 xml:space="preserve">LED control technology by </w:t>
      </w:r>
      <w:proofErr w:type="spellStart"/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>Selux</w:t>
      </w:r>
      <w:proofErr w:type="spellEnd"/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 xml:space="preserve"> makes an important contribution to the lowe</w:t>
      </w:r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>r</w:t>
      </w:r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 xml:space="preserve">ing of energy consumption. </w:t>
      </w:r>
      <w:proofErr w:type="spellStart"/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>Trigo</w:t>
      </w:r>
      <w:proofErr w:type="spellEnd"/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 xml:space="preserve"> </w:t>
      </w:r>
      <w:proofErr w:type="spellStart"/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>luminaires</w:t>
      </w:r>
      <w:proofErr w:type="spellEnd"/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 xml:space="preserve"> are switchable and dimmable via a DALI interface. Further control options are also available such as phase-controlled half-night switching or power-reduced operation with up to five a</w:t>
      </w:r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>d</w:t>
      </w:r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>justable dimming settings.</w:t>
      </w:r>
    </w:p>
    <w:p w:rsidR="00CD7DB7" w:rsidRPr="00CD7DB7" w:rsidRDefault="00CD7DB7" w:rsidP="00CD7DB7">
      <w:pPr>
        <w:pStyle w:val="Head2"/>
        <w:rPr>
          <w:w w:val="107"/>
          <w:lang w:val="en-GB" w:eastAsia="de-DE"/>
        </w:rPr>
      </w:pPr>
      <w:r w:rsidRPr="00CD7DB7">
        <w:rPr>
          <w:w w:val="107"/>
          <w:lang w:val="en-GB" w:eastAsia="de-DE"/>
        </w:rPr>
        <w:t>Durable in all respects</w:t>
      </w:r>
    </w:p>
    <w:p w:rsidR="00CD7DB7" w:rsidRPr="00CD7DB7" w:rsidRDefault="00CD7DB7" w:rsidP="00CD7DB7">
      <w:pPr>
        <w:pStyle w:val="Fliess"/>
        <w:rPr>
          <w:rFonts w:ascii="BrownStd-Light" w:hAnsi="BrownStd-Light" w:cs="BrownStd-Light"/>
          <w:spacing w:val="2"/>
          <w:w w:val="107"/>
          <w:lang w:val="en-GB" w:eastAsia="de-DE"/>
        </w:rPr>
      </w:pPr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 xml:space="preserve">As with all </w:t>
      </w:r>
      <w:proofErr w:type="spellStart"/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>Selux</w:t>
      </w:r>
      <w:proofErr w:type="spellEnd"/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 xml:space="preserve"> </w:t>
      </w:r>
      <w:proofErr w:type="spellStart"/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>luminaires</w:t>
      </w:r>
      <w:proofErr w:type="spellEnd"/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 xml:space="preserve">, with the design of the </w:t>
      </w:r>
      <w:proofErr w:type="spellStart"/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>Trigo</w:t>
      </w:r>
      <w:proofErr w:type="spellEnd"/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>, great importance has been placed on a long service life. The housing is made of coated, die-cast al</w:t>
      </w:r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>u</w:t>
      </w:r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>minium while the light modules can simply be replaced when r</w:t>
      </w:r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>e</w:t>
      </w:r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 xml:space="preserve">quired. And because </w:t>
      </w:r>
      <w:proofErr w:type="spellStart"/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>Selux</w:t>
      </w:r>
      <w:proofErr w:type="spellEnd"/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 xml:space="preserve"> saves measurement data and documents for all LED </w:t>
      </w:r>
      <w:proofErr w:type="spellStart"/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>luminaires</w:t>
      </w:r>
      <w:proofErr w:type="spellEnd"/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 xml:space="preserve"> with respect to light colour, luminous flux and power for the sake of quality assurance, </w:t>
      </w:r>
      <w:proofErr w:type="spellStart"/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>luminaire</w:t>
      </w:r>
      <w:proofErr w:type="spellEnd"/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 xml:space="preserve"> components can be reordered with the same configur</w:t>
      </w:r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>a</w:t>
      </w:r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>tion.</w:t>
      </w:r>
    </w:p>
    <w:p w:rsidR="00CD7DB7" w:rsidRPr="00CD7DB7" w:rsidRDefault="00CD7DB7" w:rsidP="00CD7DB7">
      <w:pPr>
        <w:pStyle w:val="head20"/>
        <w:rPr>
          <w:w w:val="107"/>
          <w:lang w:val="en-GB"/>
        </w:rPr>
      </w:pPr>
      <w:r w:rsidRPr="00CD7DB7">
        <w:rPr>
          <w:w w:val="107"/>
          <w:lang w:val="en-GB"/>
        </w:rPr>
        <w:t>Sustainable design</w:t>
      </w:r>
    </w:p>
    <w:p w:rsidR="00776540" w:rsidRPr="00CD7DB7" w:rsidRDefault="00CD7DB7" w:rsidP="00CD7DB7">
      <w:pPr>
        <w:pStyle w:val="Fliess"/>
        <w:rPr>
          <w:w w:val="107"/>
          <w:lang w:val="en-GB"/>
        </w:rPr>
      </w:pPr>
      <w:r w:rsidRPr="00CD7DB7">
        <w:rPr>
          <w:rFonts w:ascii="BrownStd-Light" w:hAnsi="BrownStd-Light" w:cs="BrownStd-Light"/>
          <w:spacing w:val="2"/>
          <w:w w:val="103"/>
          <w:lang w:val="en-GB" w:eastAsia="de-DE"/>
        </w:rPr>
        <w:t xml:space="preserve">The design language of the </w:t>
      </w:r>
      <w:proofErr w:type="spellStart"/>
      <w:r w:rsidRPr="00CD7DB7">
        <w:rPr>
          <w:rFonts w:ascii="BrownStd-Light" w:hAnsi="BrownStd-Light" w:cs="BrownStd-Light"/>
          <w:spacing w:val="2"/>
          <w:w w:val="103"/>
          <w:lang w:val="en-GB" w:eastAsia="de-DE"/>
        </w:rPr>
        <w:t>Trigo</w:t>
      </w:r>
      <w:proofErr w:type="spellEnd"/>
      <w:r w:rsidRPr="00CD7DB7">
        <w:rPr>
          <w:rFonts w:ascii="BrownStd-Light" w:hAnsi="BrownStd-Light" w:cs="BrownStd-Light"/>
          <w:spacing w:val="2"/>
          <w:w w:val="103"/>
          <w:lang w:val="en-GB" w:eastAsia="de-DE"/>
        </w:rPr>
        <w:t xml:space="preserve"> is anot</w:t>
      </w:r>
      <w:r>
        <w:rPr>
          <w:rFonts w:ascii="BrownStd-Light" w:hAnsi="BrownStd-Light" w:cs="BrownStd-Light"/>
          <w:spacing w:val="2"/>
          <w:w w:val="103"/>
          <w:lang w:val="en-GB" w:eastAsia="de-DE"/>
        </w:rPr>
        <w:t>her important factor in its lon</w:t>
      </w:r>
      <w:r w:rsidRPr="00CD7DB7">
        <w:rPr>
          <w:rFonts w:ascii="BrownStd-Light" w:hAnsi="BrownStd-Light" w:cs="BrownStd-Light"/>
          <w:spacing w:val="2"/>
          <w:w w:val="103"/>
          <w:lang w:val="en-GB" w:eastAsia="de-DE"/>
        </w:rPr>
        <w:t xml:space="preserve">gevity. </w:t>
      </w:r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 xml:space="preserve">The combination of geometrical basic shapes – a circular plate for the </w:t>
      </w:r>
      <w:proofErr w:type="spellStart"/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>l</w:t>
      </w:r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>u</w:t>
      </w:r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>minaire</w:t>
      </w:r>
      <w:proofErr w:type="spellEnd"/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 xml:space="preserve"> body and a triangle for its dual-arm connection – lends the design of the </w:t>
      </w:r>
      <w:proofErr w:type="spellStart"/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>Trigo</w:t>
      </w:r>
      <w:proofErr w:type="spellEnd"/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 xml:space="preserve"> </w:t>
      </w:r>
      <w:proofErr w:type="gramStart"/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>a certain</w:t>
      </w:r>
      <w:proofErr w:type="gramEnd"/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 xml:space="preserve"> timelessness. As a result it is capable of blen</w:t>
      </w:r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>d</w:t>
      </w:r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 xml:space="preserve">ing </w:t>
      </w:r>
      <w:r w:rsidRPr="00CD7DB7">
        <w:rPr>
          <w:rFonts w:ascii="BrownStd-Light" w:hAnsi="BrownStd-Light" w:cs="BrownStd-Light"/>
          <w:spacing w:val="2"/>
          <w:w w:val="103"/>
          <w:lang w:val="en-GB" w:eastAsia="de-DE"/>
        </w:rPr>
        <w:t>superbly into all urban architectural environments where looks to be pr</w:t>
      </w:r>
      <w:r w:rsidRPr="00CD7DB7">
        <w:rPr>
          <w:rFonts w:ascii="BrownStd-Light" w:hAnsi="BrownStd-Light" w:cs="BrownStd-Light"/>
          <w:spacing w:val="2"/>
          <w:w w:val="103"/>
          <w:lang w:val="en-GB" w:eastAsia="de-DE"/>
        </w:rPr>
        <w:t>e</w:t>
      </w:r>
      <w:r w:rsidRPr="00CD7DB7">
        <w:rPr>
          <w:rFonts w:ascii="BrownStd-Light" w:hAnsi="BrownStd-Light" w:cs="BrownStd-Light"/>
          <w:spacing w:val="2"/>
          <w:w w:val="103"/>
          <w:lang w:val="en-GB" w:eastAsia="de-DE"/>
        </w:rPr>
        <w:t xml:space="preserve">cisely </w:t>
      </w:r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 xml:space="preserve">what it is – a highly efficient, highly economical yet extremely durable </w:t>
      </w:r>
      <w:proofErr w:type="spellStart"/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>l</w:t>
      </w:r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>u</w:t>
      </w:r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>minaire</w:t>
      </w:r>
      <w:proofErr w:type="spellEnd"/>
      <w:r w:rsidRPr="00CD7DB7">
        <w:rPr>
          <w:rFonts w:ascii="BrownStd-Light" w:hAnsi="BrownStd-Light" w:cs="BrownStd-Light"/>
          <w:spacing w:val="2"/>
          <w:w w:val="107"/>
          <w:lang w:val="en-GB" w:eastAsia="de-DE"/>
        </w:rPr>
        <w:t>.</w:t>
      </w:r>
    </w:p>
    <w:sectPr w:rsidR="00776540" w:rsidRPr="00CD7DB7" w:rsidSect="00F50EE4">
      <w:headerReference w:type="default" r:id="rId4"/>
      <w:footerReference w:type="default" r:id="rId5"/>
      <w:pgSz w:w="11906" w:h="16838"/>
      <w:pgMar w:top="1985" w:right="3119" w:bottom="2268" w:left="1418" w:header="284" w:footer="284" w:gutter="0"/>
      <w:formProt w:val="0"/>
      <w:docGrid w:linePitch="360" w:charSpace="-2049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rownStd">
    <w:panose1 w:val="00010500010101010101"/>
    <w:charset w:val="00"/>
    <w:family w:val="auto"/>
    <w:pitch w:val="variable"/>
    <w:sig w:usb0="800000AF" w:usb1="4000206B" w:usb2="00000000" w:usb3="00000000" w:csb0="00000001" w:csb1="00000000"/>
  </w:font>
  <w:font w:name="BrownStd Light">
    <w:panose1 w:val="00010400010101010101"/>
    <w:charset w:val="00"/>
    <w:family w:val="auto"/>
    <w:pitch w:val="variable"/>
    <w:sig w:usb0="800000AF" w:usb1="4000206B" w:usb2="00000000" w:usb3="00000000" w:csb0="00000001" w:csb1="00000000"/>
  </w:font>
  <w:font w:name="BrownStd-Bold">
    <w:altName w:val="Brown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rownStd-Light">
    <w:altName w:val="BrownSt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A1E" w:rsidRDefault="00000A1E" w:rsidP="00F50EE4">
    <w:pPr>
      <w:pStyle w:val="Fliess"/>
      <w:spacing w:after="0"/>
    </w:pPr>
    <w:proofErr w:type="spellStart"/>
    <w:r>
      <w:t>Manufacturer</w:t>
    </w:r>
    <w:proofErr w:type="spellEnd"/>
    <w:r>
      <w:t xml:space="preserve"> </w:t>
    </w:r>
    <w:proofErr w:type="spellStart"/>
    <w:r>
      <w:t>contact</w:t>
    </w:r>
    <w:proofErr w:type="spellEnd"/>
    <w:r>
      <w:t xml:space="preserve">: </w:t>
    </w:r>
  </w:p>
  <w:p w:rsidR="00000A1E" w:rsidRDefault="00000A1E" w:rsidP="00F50EE4">
    <w:pPr>
      <w:pStyle w:val="Fliess"/>
      <w:spacing w:after="0"/>
    </w:pPr>
    <w:r>
      <w:t xml:space="preserve">Manuela Schnabel, </w:t>
    </w:r>
    <w:proofErr w:type="spellStart"/>
    <w:r>
      <w:t>Head</w:t>
    </w:r>
    <w:proofErr w:type="spellEnd"/>
    <w:r>
      <w:t xml:space="preserve"> of Marketing / </w:t>
    </w:r>
    <w:proofErr w:type="spellStart"/>
    <w:r>
      <w:t>Communication</w:t>
    </w:r>
    <w:proofErr w:type="spellEnd"/>
    <w:r>
      <w:t xml:space="preserve">, </w:t>
    </w:r>
    <w:proofErr w:type="spellStart"/>
    <w:r>
      <w:t>Selux</w:t>
    </w:r>
    <w:proofErr w:type="spellEnd"/>
    <w:r>
      <w:t xml:space="preserve"> AG, </w:t>
    </w:r>
    <w:proofErr w:type="spellStart"/>
    <w:r>
      <w:t>Motzener</w:t>
    </w:r>
    <w:proofErr w:type="spellEnd"/>
    <w:r>
      <w:t xml:space="preserve"> Straße 34, 12277 Berlin, Germany</w:t>
    </w:r>
  </w:p>
  <w:p w:rsidR="00000A1E" w:rsidRDefault="00000A1E" w:rsidP="00F50EE4">
    <w:pPr>
      <w:pStyle w:val="Fliess"/>
      <w:spacing w:after="0"/>
    </w:pPr>
    <w:r>
      <w:t xml:space="preserve">T +49 30 72001-246, </w:t>
    </w:r>
    <w:proofErr w:type="spellStart"/>
    <w:r>
      <w:t>m.schnabel@selux.de</w:t>
    </w:r>
    <w:proofErr w:type="spellEnd"/>
    <w:r>
      <w:t xml:space="preserve">, </w:t>
    </w:r>
    <w:r w:rsidRPr="00F50EE4">
      <w:t>www.selux.com</w:t>
    </w:r>
  </w:p>
  <w:p w:rsidR="00000A1E" w:rsidRDefault="00000A1E" w:rsidP="00F50EE4">
    <w:pPr>
      <w:pStyle w:val="Fliess"/>
      <w:spacing w:after="0"/>
    </w:pPr>
  </w:p>
  <w:p w:rsidR="00000A1E" w:rsidRPr="00F50EE4" w:rsidRDefault="00000A1E" w:rsidP="00F50EE4">
    <w:pPr>
      <w:pStyle w:val="Fliess"/>
      <w:spacing w:after="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A1E" w:rsidRDefault="00C8635F" w:rsidP="00776540">
    <w:pPr>
      <w:pStyle w:val="Kopfzeile"/>
      <w:spacing w:before="320" w:after="0"/>
      <w:ind w:left="-1134"/>
      <w:jc w:val="right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left:0;text-align:left;margin-left:387pt;margin-top:16.9pt;width:2in;height:2in;z-index:251658240" filled="f" stroked="f">
          <v:fill o:detectmouseclick="t"/>
          <v:textbox inset=",7.2pt,,7.2pt">
            <w:txbxContent>
              <w:p w:rsidR="00000A1E" w:rsidRDefault="00000A1E" w:rsidP="00776540">
                <w:r>
                  <w:rPr>
                    <w:noProof/>
                    <w:lang w:eastAsia="de-DE"/>
                  </w:rPr>
                  <w:drawing>
                    <wp:inline distT="0" distB="0" distL="0" distR="0">
                      <wp:extent cx="1092200" cy="355600"/>
                      <wp:effectExtent l="25400" t="0" r="0" b="0"/>
                      <wp:docPr id="53" name="Bild 53" descr="Selux_Logo_Schwarz_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3" descr="Selux_Logo_Schwarz_K"/>
                              <pic:cNvPicPr>
                                <a:picLocks noChangeAspect="1" noChangeArrowheads="1"/>
                              </pic:cNvPicPr>
                            </pic:nvPicPr>
                            <ve:AlternateContent xmlns:ma="http://schemas.microsoft.com/office/mac/drawingml/2008/main">
                              <ve:Choice Requires="ma"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</ve:Choice>
          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</ve:Fallback>
                            </ve:AlternateContent>
                            <pic:spPr bwMode="auto">
                              <a:xfrm>
                                <a:off x="0" y="0"/>
                                <a:ext cx="1092200" cy="3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  <w:p w:rsidR="00000A1E" w:rsidRDefault="00000A1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doNotTrackMoves/>
  <w:defaultTabStop w:val="720"/>
  <w:autoHyphenation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compat/>
  <w:rsids>
    <w:rsidRoot w:val="00776540"/>
    <w:rsid w:val="00000A1E"/>
    <w:rsid w:val="00015081"/>
    <w:rsid w:val="00046916"/>
    <w:rsid w:val="000659EB"/>
    <w:rsid w:val="00202B8E"/>
    <w:rsid w:val="00205D75"/>
    <w:rsid w:val="004C7105"/>
    <w:rsid w:val="00776540"/>
    <w:rsid w:val="007B1D6C"/>
    <w:rsid w:val="00896EA1"/>
    <w:rsid w:val="008D6334"/>
    <w:rsid w:val="00955C6B"/>
    <w:rsid w:val="009F2751"/>
    <w:rsid w:val="00A07FF1"/>
    <w:rsid w:val="00AA0905"/>
    <w:rsid w:val="00B254AB"/>
    <w:rsid w:val="00B45EFA"/>
    <w:rsid w:val="00C8635F"/>
    <w:rsid w:val="00CA0166"/>
    <w:rsid w:val="00CD7DB7"/>
    <w:rsid w:val="00D464ED"/>
    <w:rsid w:val="00D900AC"/>
    <w:rsid w:val="00DE2D15"/>
    <w:rsid w:val="00E77C39"/>
    <w:rsid w:val="00EE4BC1"/>
    <w:rsid w:val="00F3303E"/>
    <w:rsid w:val="00F50EE4"/>
    <w:rsid w:val="00FA6799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Arial Unicode MS" w:hAnsi="Cambri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rsid w:val="00A14F7D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rsid w:val="00B5407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B54079"/>
    <w:rPr>
      <w:rFonts w:ascii="Calibri" w:hAnsi="Calibri" w:cs="Calibri"/>
      <w:color w:val="00000A"/>
      <w:sz w:val="22"/>
      <w:szCs w:val="22"/>
      <w:lang w:eastAsia="en-US"/>
    </w:rPr>
  </w:style>
  <w:style w:type="paragraph" w:customStyle="1" w:styleId="Kontakt">
    <w:name w:val="Kontakt"/>
    <w:basedOn w:val="Teaser"/>
    <w:rsid w:val="00B54079"/>
    <w:pPr>
      <w:spacing w:after="0"/>
    </w:pPr>
  </w:style>
  <w:style w:type="paragraph" w:customStyle="1" w:styleId="Teaser">
    <w:name w:val="Teaser"/>
    <w:basedOn w:val="Standard"/>
    <w:uiPriority w:val="99"/>
    <w:rsid w:val="00B54079"/>
    <w:pPr>
      <w:suppressAutoHyphens w:val="0"/>
      <w:spacing w:after="260" w:line="260" w:lineRule="exact"/>
    </w:pPr>
    <w:rPr>
      <w:rFonts w:ascii="BrownStd" w:hAnsi="BrownStd"/>
      <w:b/>
      <w:iCs/>
      <w:sz w:val="20"/>
      <w:szCs w:val="20"/>
    </w:rPr>
  </w:style>
  <w:style w:type="paragraph" w:styleId="Fuzeile">
    <w:name w:val="footer"/>
    <w:basedOn w:val="Standard"/>
    <w:link w:val="FuzeileZeichen"/>
    <w:rsid w:val="00B5407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B54079"/>
    <w:rPr>
      <w:rFonts w:ascii="Calibri" w:hAnsi="Calibri" w:cs="Calibri"/>
      <w:color w:val="00000A"/>
      <w:sz w:val="22"/>
      <w:szCs w:val="22"/>
      <w:lang w:eastAsia="en-US"/>
    </w:rPr>
  </w:style>
  <w:style w:type="paragraph" w:styleId="Beschriftung">
    <w:name w:val="caption"/>
    <w:basedOn w:val="Standard"/>
    <w:rsid w:val="00A14F7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Head1">
    <w:name w:val="Head1"/>
    <w:basedOn w:val="Standard"/>
    <w:rsid w:val="00B54079"/>
    <w:pPr>
      <w:spacing w:after="260" w:line="300" w:lineRule="exact"/>
    </w:pPr>
    <w:rPr>
      <w:rFonts w:ascii="BrownStd" w:hAnsi="BrownStd"/>
      <w:b/>
      <w:sz w:val="24"/>
      <w:szCs w:val="24"/>
      <w:lang w:val="en-US"/>
    </w:rPr>
  </w:style>
  <w:style w:type="paragraph" w:customStyle="1" w:styleId="Fliess">
    <w:name w:val="Fliess"/>
    <w:basedOn w:val="Standard"/>
    <w:uiPriority w:val="99"/>
    <w:rsid w:val="00776540"/>
    <w:pPr>
      <w:suppressAutoHyphens w:val="0"/>
      <w:spacing w:after="260" w:line="260" w:lineRule="exact"/>
    </w:pPr>
    <w:rPr>
      <w:rFonts w:ascii="BrownStd Light" w:hAnsi="BrownStd Light"/>
      <w:sz w:val="20"/>
      <w:szCs w:val="20"/>
    </w:rPr>
  </w:style>
  <w:style w:type="paragraph" w:customStyle="1" w:styleId="Head2">
    <w:name w:val="Head2"/>
    <w:basedOn w:val="Standard"/>
    <w:rsid w:val="00B54079"/>
    <w:pPr>
      <w:spacing w:after="160" w:line="260" w:lineRule="exact"/>
    </w:pPr>
    <w:rPr>
      <w:rFonts w:ascii="BrownStd" w:hAnsi="BrownStd"/>
      <w:b/>
      <w:bCs/>
      <w:sz w:val="20"/>
      <w:szCs w:val="20"/>
    </w:rPr>
  </w:style>
  <w:style w:type="paragraph" w:customStyle="1" w:styleId="head10">
    <w:name w:val="head1"/>
    <w:basedOn w:val="Standard"/>
    <w:uiPriority w:val="99"/>
    <w:rsid w:val="00000A1E"/>
    <w:pPr>
      <w:widowControl w:val="0"/>
      <w:suppressAutoHyphens w:val="0"/>
      <w:autoSpaceDE w:val="0"/>
      <w:autoSpaceDN w:val="0"/>
      <w:adjustRightInd w:val="0"/>
      <w:spacing w:after="260" w:line="300" w:lineRule="atLeast"/>
      <w:textAlignment w:val="center"/>
    </w:pPr>
    <w:rPr>
      <w:rFonts w:ascii="BrownStd-Bold" w:hAnsi="BrownStd-Bold" w:cs="BrownStd-Bold"/>
      <w:b/>
      <w:bCs/>
      <w:color w:val="000000"/>
      <w:sz w:val="24"/>
      <w:szCs w:val="24"/>
      <w:lang w:eastAsia="de-DE"/>
    </w:rPr>
  </w:style>
  <w:style w:type="paragraph" w:customStyle="1" w:styleId="head20">
    <w:name w:val="head2"/>
    <w:basedOn w:val="Standard"/>
    <w:uiPriority w:val="99"/>
    <w:rsid w:val="00776540"/>
    <w:pPr>
      <w:widowControl w:val="0"/>
      <w:autoSpaceDE w:val="0"/>
      <w:autoSpaceDN w:val="0"/>
      <w:adjustRightInd w:val="0"/>
      <w:spacing w:after="160" w:line="260" w:lineRule="atLeast"/>
      <w:textAlignment w:val="center"/>
    </w:pPr>
    <w:rPr>
      <w:rFonts w:ascii="BrownStd-Bold" w:hAnsi="BrownStd-Bold" w:cs="BrownStd-Bold"/>
      <w:b/>
      <w:bCs/>
      <w:color w:val="000000"/>
      <w:spacing w:val="2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F50EE4"/>
    <w:pPr>
      <w:widowControl w:val="0"/>
      <w:suppressAutoHyphens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/>
    </w:rPr>
  </w:style>
  <w:style w:type="paragraph" w:customStyle="1" w:styleId="contact">
    <w:name w:val="contact"/>
    <w:basedOn w:val="Standard"/>
    <w:uiPriority w:val="99"/>
    <w:rsid w:val="00F50EE4"/>
    <w:pPr>
      <w:widowControl w:val="0"/>
      <w:suppressAutoHyphens w:val="0"/>
      <w:autoSpaceDE w:val="0"/>
      <w:autoSpaceDN w:val="0"/>
      <w:adjustRightInd w:val="0"/>
      <w:spacing w:after="0" w:line="200" w:lineRule="atLeast"/>
      <w:textAlignment w:val="center"/>
    </w:pPr>
    <w:rPr>
      <w:rFonts w:ascii="BrownStd-Light" w:hAnsi="BrownStd-Light" w:cs="BrownStd-Light"/>
      <w:color w:val="000000"/>
      <w:spacing w:val="2"/>
      <w:sz w:val="16"/>
      <w:szCs w:val="16"/>
      <w:lang w:eastAsia="de-DE"/>
    </w:rPr>
  </w:style>
  <w:style w:type="character" w:styleId="Link">
    <w:name w:val="Hyperlink"/>
    <w:basedOn w:val="Absatzstandardschriftart"/>
    <w:rsid w:val="00F50E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heiden:Library:Application%20Support:Microsoft:Office:Benutzervorlagen:Eigene%20Vorlagen:selux-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selux-vorlage.dotx</Template>
  <TotalTime>0</TotalTime>
  <Pages>2</Pages>
  <Words>428</Words>
  <Characters>2443</Characters>
  <Application>Microsoft Macintosh Word</Application>
  <DocSecurity>0</DocSecurity>
  <Lines>20</Lines>
  <Paragraphs>4</Paragraphs>
  <ScaleCrop>false</ScaleCrop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2016-03-07T15:59:00Z</dcterms:created>
  <dcterms:modified xsi:type="dcterms:W3CDTF">2016-03-07T16:07:00Z</dcterms:modified>
  <dc:language>de-DE</dc:language>
</cp:coreProperties>
</file>