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bin" ContentType="application/vnd.openxmlformats-officedocument.wordprocessingml.printerSettings"/>
  <Default Extension="png" ContentType="image/pn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EC" w:rsidRPr="00F04F95" w:rsidRDefault="008672DF" w:rsidP="00C13576">
      <w:pPr>
        <w:pStyle w:val="01head1"/>
        <w:rPr>
          <w:lang w:val="fr-FR"/>
        </w:rPr>
      </w:pPr>
      <w:r w:rsidRPr="001C221D">
        <w:rPr>
          <w:lang w:val="fr-FR"/>
        </w:rPr>
        <w:t xml:space="preserve">Borne </w:t>
      </w:r>
      <w:proofErr w:type="spellStart"/>
      <w:r w:rsidRPr="001C221D">
        <w:rPr>
          <w:lang w:val="fr-FR"/>
        </w:rPr>
        <w:t>Inula</w:t>
      </w:r>
      <w:proofErr w:type="spellEnd"/>
      <w:r w:rsidRPr="001C221D">
        <w:rPr>
          <w:lang w:val="fr-FR"/>
        </w:rPr>
        <w:t xml:space="preserve"> – Préservons la nuit</w:t>
      </w:r>
    </w:p>
    <w:p w:rsidR="00083E8C" w:rsidRPr="00083E8C" w:rsidRDefault="00083E8C" w:rsidP="00083E8C">
      <w:pPr>
        <w:pStyle w:val="02Teaser"/>
        <w:rPr>
          <w:lang w:val="fr-FR"/>
        </w:rPr>
      </w:pPr>
      <w:r w:rsidRPr="00083E8C">
        <w:rPr>
          <w:lang w:val="fr-FR"/>
        </w:rPr>
        <w:t xml:space="preserve">Plus que jamais une distribution photométrique précise et de qualité prévaut sur la quantité de lumière fournie. C’est d’autant plus vrai si l’on considère les espaces publics autour de bâtiments ou les parcs et jardins. Voilà précisément la raison pour laquelle un produit comme la nouvelle borne </w:t>
      </w:r>
      <w:proofErr w:type="spellStart"/>
      <w:r w:rsidRPr="00083E8C">
        <w:rPr>
          <w:lang w:val="fr-FR"/>
        </w:rPr>
        <w:t>Inula</w:t>
      </w:r>
      <w:proofErr w:type="spellEnd"/>
      <w:r w:rsidRPr="00083E8C">
        <w:rPr>
          <w:lang w:val="fr-FR"/>
        </w:rPr>
        <w:t xml:space="preserve"> de </w:t>
      </w:r>
      <w:proofErr w:type="spellStart"/>
      <w:r w:rsidRPr="00083E8C">
        <w:rPr>
          <w:lang w:val="fr-FR"/>
        </w:rPr>
        <w:t>Selux</w:t>
      </w:r>
      <w:proofErr w:type="spellEnd"/>
      <w:r w:rsidRPr="00083E8C">
        <w:rPr>
          <w:lang w:val="fr-FR"/>
        </w:rPr>
        <w:t xml:space="preserve"> a été conçu. Avec son apparence réduite à l‘extrême, la borne </w:t>
      </w:r>
      <w:proofErr w:type="spellStart"/>
      <w:r w:rsidRPr="00083E8C">
        <w:rPr>
          <w:lang w:val="fr-FR"/>
        </w:rPr>
        <w:t>Inula</w:t>
      </w:r>
      <w:proofErr w:type="spellEnd"/>
      <w:r w:rsidRPr="00083E8C">
        <w:rPr>
          <w:lang w:val="fr-FR"/>
        </w:rPr>
        <w:t xml:space="preserve"> fournit une lumière efficace, également distribuée et visuellement confortable, offrant ainsi un large éventail de possibilités dans la conception de projets d’éclairage au sein d’espaces publics.</w:t>
      </w:r>
    </w:p>
    <w:p w:rsidR="00083E8C" w:rsidRPr="00083E8C" w:rsidRDefault="00083E8C" w:rsidP="00083E8C">
      <w:pPr>
        <w:pStyle w:val="00Fliess"/>
        <w:rPr>
          <w:lang w:val="fr-FR"/>
        </w:rPr>
      </w:pPr>
      <w:r w:rsidRPr="00083E8C">
        <w:rPr>
          <w:lang w:val="fr-FR"/>
        </w:rPr>
        <w:t xml:space="preserve">La nuit, les espaces publics peuvent vite se transformer en lieux non avenants. Une bonne conception d‘éclairage est alors indispensable pour que ces zones deviennent agréables et que les usagers s’y sentent en sécurité. Cela doit être réalisé en tenant compte de la nature même des lieux, en évitant toute nuisance lumineuse et en considérant le confort visuel. Les bornes </w:t>
      </w:r>
      <w:proofErr w:type="spellStart"/>
      <w:r w:rsidRPr="00083E8C">
        <w:rPr>
          <w:lang w:val="fr-FR"/>
        </w:rPr>
        <w:t>Inula</w:t>
      </w:r>
      <w:proofErr w:type="spellEnd"/>
      <w:r w:rsidRPr="00083E8C">
        <w:rPr>
          <w:lang w:val="fr-FR"/>
        </w:rPr>
        <w:t xml:space="preserve"> de </w:t>
      </w:r>
      <w:proofErr w:type="spellStart"/>
      <w:r w:rsidRPr="00083E8C">
        <w:rPr>
          <w:lang w:val="fr-FR"/>
        </w:rPr>
        <w:t>Selux</w:t>
      </w:r>
      <w:proofErr w:type="spellEnd"/>
      <w:r w:rsidRPr="00083E8C">
        <w:rPr>
          <w:lang w:val="fr-FR"/>
        </w:rPr>
        <w:t xml:space="preserve"> peuvent jouer un double rôle dans ces conceptions d’éclairage en offrant de multiples possibilités de distributions lumineuses sans pour autant être trop envahissantes. Elles permettent aussi de délimiter les espaces tout en offrant un éclairage efficace grâce à leur technologie d’éclairage flexible.</w:t>
      </w:r>
    </w:p>
    <w:p w:rsidR="00083E8C" w:rsidRPr="00083E8C" w:rsidRDefault="00083E8C" w:rsidP="00083E8C">
      <w:pPr>
        <w:pStyle w:val="00Fliess"/>
        <w:rPr>
          <w:lang w:val="fr-FR"/>
        </w:rPr>
      </w:pPr>
      <w:r w:rsidRPr="00083E8C">
        <w:rPr>
          <w:spacing w:val="0"/>
          <w:lang w:val="fr-FR"/>
        </w:rPr>
        <w:t xml:space="preserve">La forme de la borne </w:t>
      </w:r>
      <w:proofErr w:type="spellStart"/>
      <w:r w:rsidRPr="00083E8C">
        <w:rPr>
          <w:spacing w:val="0"/>
          <w:lang w:val="fr-FR"/>
        </w:rPr>
        <w:t>Inula</w:t>
      </w:r>
      <w:proofErr w:type="spellEnd"/>
      <w:r w:rsidRPr="00083E8C">
        <w:rPr>
          <w:spacing w:val="0"/>
          <w:lang w:val="fr-FR"/>
        </w:rPr>
        <w:t xml:space="preserve"> ne pourrait pas être plus simple : de section cylindrique </w:t>
      </w:r>
      <w:r w:rsidRPr="00083E8C">
        <w:rPr>
          <w:lang w:val="fr-FR"/>
        </w:rPr>
        <w:t xml:space="preserve">de diamètre 200 mm, </w:t>
      </w:r>
      <w:proofErr w:type="spellStart"/>
      <w:r w:rsidRPr="00083E8C">
        <w:rPr>
          <w:lang w:val="fr-FR"/>
        </w:rPr>
        <w:t>Inula</w:t>
      </w:r>
      <w:proofErr w:type="spellEnd"/>
      <w:r w:rsidRPr="00083E8C">
        <w:rPr>
          <w:lang w:val="fr-FR"/>
        </w:rPr>
        <w:t xml:space="preserve"> est disponible dans trois hauteurs. La clé de son innovation réside dans la technologie d‘éclairage utilisée, située au cœur de quatre ouvertures distinctes. Une fois allumée, </w:t>
      </w:r>
      <w:proofErr w:type="spellStart"/>
      <w:r w:rsidRPr="00083E8C">
        <w:rPr>
          <w:lang w:val="fr-FR"/>
        </w:rPr>
        <w:t>Inula</w:t>
      </w:r>
      <w:proofErr w:type="spellEnd"/>
      <w:r w:rsidRPr="00083E8C">
        <w:rPr>
          <w:lang w:val="fr-FR"/>
        </w:rPr>
        <w:t xml:space="preserve"> procure une lumière via ces quadrants de couleur noire mate, ce qui rend la borne discrète et confortable en protégeant les usagers de toute vue directe de la source lumineuse. Cela fait de la borne </w:t>
      </w:r>
      <w:proofErr w:type="spellStart"/>
      <w:r w:rsidRPr="00083E8C">
        <w:rPr>
          <w:lang w:val="fr-FR"/>
        </w:rPr>
        <w:t>Inula</w:t>
      </w:r>
      <w:proofErr w:type="spellEnd"/>
      <w:r w:rsidRPr="00083E8C">
        <w:rPr>
          <w:lang w:val="fr-FR"/>
        </w:rPr>
        <w:t xml:space="preserve"> le produit idéal pour toute zone naturelle sensible.</w:t>
      </w:r>
    </w:p>
    <w:p w:rsidR="00083E8C" w:rsidRPr="00083E8C" w:rsidRDefault="00083E8C" w:rsidP="00083E8C">
      <w:pPr>
        <w:pStyle w:val="00Fliess"/>
        <w:rPr>
          <w:lang w:val="fr-FR"/>
        </w:rPr>
      </w:pPr>
      <w:r w:rsidRPr="00083E8C">
        <w:rPr>
          <w:lang w:val="fr-FR"/>
        </w:rPr>
        <w:t xml:space="preserve">Grâce à ce principe, la borne </w:t>
      </w:r>
      <w:proofErr w:type="spellStart"/>
      <w:r w:rsidRPr="00083E8C">
        <w:rPr>
          <w:lang w:val="fr-FR"/>
        </w:rPr>
        <w:t>Inula</w:t>
      </w:r>
      <w:proofErr w:type="spellEnd"/>
      <w:r w:rsidRPr="00083E8C">
        <w:rPr>
          <w:lang w:val="fr-FR"/>
        </w:rPr>
        <w:t xml:space="preserve"> n’émet aucune lumière dans l’hémisphère supérieur, ce qui a été officiellement reconnu par l’International </w:t>
      </w:r>
      <w:proofErr w:type="spellStart"/>
      <w:r w:rsidRPr="00083E8C">
        <w:rPr>
          <w:lang w:val="fr-FR"/>
        </w:rPr>
        <w:t>Dark</w:t>
      </w:r>
      <w:proofErr w:type="spellEnd"/>
      <w:r w:rsidRPr="00083E8C">
        <w:rPr>
          <w:lang w:val="fr-FR"/>
        </w:rPr>
        <w:t xml:space="preserve"> </w:t>
      </w:r>
      <w:proofErr w:type="spellStart"/>
      <w:r w:rsidRPr="00083E8C">
        <w:rPr>
          <w:lang w:val="fr-FR"/>
        </w:rPr>
        <w:t>Sky</w:t>
      </w:r>
      <w:proofErr w:type="spellEnd"/>
      <w:r w:rsidRPr="00083E8C">
        <w:rPr>
          <w:lang w:val="fr-FR"/>
        </w:rPr>
        <w:t xml:space="preserve"> Association. Cela ne compromet en rien l’efficacité d’éclairage de cette borne, bien au contraire. Grâce à son dispositif de quadrants, la borne </w:t>
      </w:r>
      <w:proofErr w:type="spellStart"/>
      <w:r w:rsidRPr="00083E8C">
        <w:rPr>
          <w:lang w:val="fr-FR"/>
        </w:rPr>
        <w:t>Inula</w:t>
      </w:r>
      <w:proofErr w:type="spellEnd"/>
      <w:r w:rsidRPr="00083E8C">
        <w:rPr>
          <w:lang w:val="fr-FR"/>
        </w:rPr>
        <w:t xml:space="preserve"> propose plusieurs distributions photométriques : un faisceau simple asymétrique, un faisceau double asymétrique utilisant deux quadrants côte à côte, ou bien un faisceau symétrique utilisant les quatre quadrants. Le point commun entre toutes ces possibilités réside dans la nature même du type de distribution photométrique d’un quadrant, qui procure un éclairage uniforme aux transitions douces.</w:t>
      </w:r>
    </w:p>
    <w:p w:rsidR="00C13576" w:rsidRDefault="00083E8C" w:rsidP="00083E8C">
      <w:pPr>
        <w:pStyle w:val="00Fliess"/>
        <w:rPr>
          <w:lang w:val="fr-FR"/>
        </w:rPr>
      </w:pPr>
      <w:r w:rsidRPr="00083E8C">
        <w:rPr>
          <w:lang w:val="fr-FR"/>
        </w:rPr>
        <w:t xml:space="preserve">En plus de ces différentes caractéristiques photométriques, la borne </w:t>
      </w:r>
      <w:proofErr w:type="spellStart"/>
      <w:r w:rsidRPr="00083E8C">
        <w:rPr>
          <w:lang w:val="fr-FR"/>
        </w:rPr>
        <w:t>Inula</w:t>
      </w:r>
      <w:proofErr w:type="spellEnd"/>
      <w:r w:rsidRPr="00083E8C">
        <w:rPr>
          <w:lang w:val="fr-FR"/>
        </w:rPr>
        <w:t xml:space="preserve"> offre les principales caractéristiques suivantes : les modules </w:t>
      </w:r>
      <w:proofErr w:type="spellStart"/>
      <w:r w:rsidRPr="00083E8C">
        <w:rPr>
          <w:lang w:val="fr-FR"/>
        </w:rPr>
        <w:t>Led</w:t>
      </w:r>
      <w:proofErr w:type="spellEnd"/>
      <w:r w:rsidRPr="00083E8C">
        <w:rPr>
          <w:lang w:val="fr-FR"/>
        </w:rPr>
        <w:t xml:space="preserve"> sont disponibles en 3000 K ou 4000 K, la borne présente une porte de visite et est équipée en standard d’un boîtier de protection électrique avec parafoudre. Cela fait de la borne </w:t>
      </w:r>
      <w:proofErr w:type="spellStart"/>
      <w:r w:rsidRPr="00083E8C">
        <w:rPr>
          <w:lang w:val="fr-FR"/>
        </w:rPr>
        <w:t>Inula</w:t>
      </w:r>
      <w:proofErr w:type="spellEnd"/>
      <w:r w:rsidRPr="00083E8C">
        <w:rPr>
          <w:lang w:val="fr-FR"/>
        </w:rPr>
        <w:t xml:space="preserve"> un produit fiable pour tout espace public et ce pendant de nombreuses années.</w:t>
      </w:r>
    </w:p>
    <w:p w:rsidR="002E4BFD" w:rsidRPr="00F04F95" w:rsidRDefault="002E4BFD" w:rsidP="00C13576">
      <w:pPr>
        <w:pStyle w:val="00Fliess"/>
        <w:rPr>
          <w:lang w:val="fr-FR"/>
        </w:rPr>
      </w:pPr>
    </w:p>
    <w:p w:rsidR="00D22DEC" w:rsidRPr="00F04F95" w:rsidRDefault="00F04F95" w:rsidP="00F1620C">
      <w:pPr>
        <w:pStyle w:val="Fliess"/>
        <w:spacing w:before="160"/>
        <w:rPr>
          <w:lang w:val="fr-FR"/>
        </w:rPr>
      </w:pPr>
      <w:r w:rsidRPr="00F04F95">
        <w:rPr>
          <w:rFonts w:ascii="BrownStd-Light" w:hAnsi="BrownStd-Light" w:cs="BrownStd-Light"/>
          <w:color w:val="000000"/>
          <w:lang w:val="fr-FR" w:eastAsia="de-DE"/>
        </w:rPr>
        <w:t>Mars</w:t>
      </w:r>
      <w:r w:rsidR="002E4BFD" w:rsidRPr="00F04F95">
        <w:rPr>
          <w:rFonts w:ascii="BrownStd-Light" w:hAnsi="BrownStd-Light" w:cs="BrownStd-Light"/>
          <w:color w:val="000000"/>
          <w:lang w:val="fr-FR" w:eastAsia="de-DE"/>
        </w:rPr>
        <w:t xml:space="preserve"> 2018</w:t>
      </w:r>
    </w:p>
    <w:sectPr w:rsidR="00D22DEC" w:rsidRPr="00F04F95" w:rsidSect="00CC003E">
      <w:headerReference w:type="default" r:id="rId4"/>
      <w:footerReference w:type="default" r:id="rId5"/>
      <w:pgSz w:w="11906" w:h="16838"/>
      <w:pgMar w:top="1985" w:right="3119" w:bottom="2268" w:left="1418" w:header="284" w:footer="284" w:gutter="0"/>
      <w:formProt w:val="0"/>
      <w:docGrid w:linePitch="360" w:charSpace="-2049"/>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rownStd">
    <w:panose1 w:val="00010500010101010101"/>
    <w:charset w:val="00"/>
    <w:family w:val="auto"/>
    <w:pitch w:val="variable"/>
    <w:sig w:usb0="00000003" w:usb1="00000000" w:usb2="00000000" w:usb3="00000000" w:csb0="00000001" w:csb1="00000000"/>
  </w:font>
  <w:font w:name="BrownStd Light">
    <w:panose1 w:val="00010400010101010101"/>
    <w:charset w:val="00"/>
    <w:family w:val="auto"/>
    <w:pitch w:val="variable"/>
    <w:sig w:usb0="00000003" w:usb1="00000000" w:usb2="00000000" w:usb3="00000000" w:csb0="00000001" w:csb1="00000000"/>
  </w:font>
  <w:font w:name="BrownStd-Bold">
    <w:altName w:val="BrownStd"/>
    <w:panose1 w:val="00000000000000000000"/>
    <w:charset w:val="4D"/>
    <w:family w:val="auto"/>
    <w:notTrueType/>
    <w:pitch w:val="default"/>
    <w:sig w:usb0="00000003" w:usb1="00000000" w:usb2="00000000" w:usb3="00000000" w:csb0="00000001" w:csb1="00000000"/>
  </w:font>
  <w:font w:name="BrownStd-Light">
    <w:altName w:val="BrownStd Light"/>
    <w:panose1 w:val="00000000000000000000"/>
    <w:charset w:val="4D"/>
    <w:family w:val="auto"/>
    <w:notTrueType/>
    <w:pitch w:val="default"/>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03E" w:rsidRPr="00B54079" w:rsidRDefault="0068374D" w:rsidP="00D22DEC">
    <w:pPr>
      <w:pStyle w:val="Kontakt"/>
      <w:rPr>
        <w:rFonts w:ascii="BrownStd Light" w:hAnsi="BrownStd Light"/>
        <w:b w:val="0"/>
        <w:w w:val="107"/>
      </w:rPr>
    </w:pPr>
    <w:proofErr w:type="spellStart"/>
    <w:r>
      <w:rPr>
        <w:rFonts w:ascii="BrownStd Light" w:hAnsi="BrownStd Light"/>
        <w:b w:val="0"/>
        <w:w w:val="107"/>
      </w:rPr>
      <w:t>Contact</w:t>
    </w:r>
    <w:proofErr w:type="spellEnd"/>
    <w:r w:rsidR="00CC003E" w:rsidRPr="00B54079">
      <w:rPr>
        <w:rFonts w:ascii="BrownStd Light" w:hAnsi="BrownStd Light"/>
        <w:b w:val="0"/>
        <w:w w:val="107"/>
      </w:rPr>
      <w:t xml:space="preserve">: </w:t>
    </w:r>
  </w:p>
  <w:p w:rsidR="00CC003E" w:rsidRPr="00B54079" w:rsidRDefault="00CC003E" w:rsidP="00D22DEC">
    <w:pPr>
      <w:pStyle w:val="Kontakt"/>
      <w:rPr>
        <w:rFonts w:ascii="BrownStd Light" w:hAnsi="BrownStd Light"/>
        <w:b w:val="0"/>
        <w:w w:val="107"/>
      </w:rPr>
    </w:pPr>
    <w:r w:rsidRPr="00B54079">
      <w:rPr>
        <w:rFonts w:ascii="BrownStd Light" w:hAnsi="BrownStd Light"/>
        <w:b w:val="0"/>
        <w:w w:val="107"/>
      </w:rPr>
      <w:t xml:space="preserve">Manuela Schnabel, </w:t>
    </w:r>
    <w:proofErr w:type="spellStart"/>
    <w:r w:rsidR="00083E8C">
      <w:rPr>
        <w:rFonts w:ascii="BrownStd Light" w:hAnsi="BrownStd Light"/>
        <w:b w:val="0"/>
        <w:w w:val="107"/>
      </w:rPr>
      <w:t>Head</w:t>
    </w:r>
    <w:proofErr w:type="spellEnd"/>
    <w:r w:rsidR="00083E8C">
      <w:rPr>
        <w:rFonts w:ascii="BrownStd Light" w:hAnsi="BrownStd Light"/>
        <w:b w:val="0"/>
        <w:w w:val="107"/>
      </w:rPr>
      <w:t xml:space="preserve"> of Marketing</w:t>
    </w:r>
  </w:p>
  <w:p w:rsidR="00CC003E" w:rsidRPr="00B54079" w:rsidRDefault="00CC003E" w:rsidP="00D22DEC">
    <w:pPr>
      <w:pStyle w:val="Kontakt"/>
      <w:rPr>
        <w:rFonts w:ascii="BrownStd Light" w:hAnsi="BrownStd Light"/>
        <w:b w:val="0"/>
        <w:w w:val="107"/>
      </w:rPr>
    </w:pPr>
    <w:proofErr w:type="spellStart"/>
    <w:r w:rsidRPr="00B54079">
      <w:rPr>
        <w:rFonts w:ascii="BrownStd Light" w:hAnsi="BrownStd Light"/>
        <w:b w:val="0"/>
        <w:w w:val="107"/>
      </w:rPr>
      <w:t>Selux</w:t>
    </w:r>
    <w:proofErr w:type="spellEnd"/>
    <w:r w:rsidRPr="00B54079">
      <w:rPr>
        <w:rFonts w:ascii="BrownStd Light" w:hAnsi="BrownStd Light"/>
        <w:b w:val="0"/>
        <w:w w:val="107"/>
      </w:rPr>
      <w:t xml:space="preserve"> AG, </w:t>
    </w:r>
    <w:proofErr w:type="spellStart"/>
    <w:r w:rsidRPr="00B54079">
      <w:rPr>
        <w:rFonts w:ascii="BrownStd Light" w:hAnsi="BrownStd Light"/>
        <w:b w:val="0"/>
        <w:w w:val="107"/>
      </w:rPr>
      <w:t>Motzener</w:t>
    </w:r>
    <w:proofErr w:type="spellEnd"/>
    <w:r w:rsidRPr="00B54079">
      <w:rPr>
        <w:rFonts w:ascii="BrownStd Light" w:hAnsi="BrownStd Light"/>
        <w:b w:val="0"/>
        <w:w w:val="107"/>
      </w:rPr>
      <w:t xml:space="preserve"> Straße 34, 12277 Berlin, </w:t>
    </w:r>
    <w:proofErr w:type="spellStart"/>
    <w:r w:rsidR="0068374D">
      <w:rPr>
        <w:rFonts w:ascii="BrownStd Light" w:hAnsi="BrownStd Light"/>
        <w:b w:val="0"/>
        <w:w w:val="107"/>
      </w:rPr>
      <w:t>Allemagne</w:t>
    </w:r>
    <w:proofErr w:type="spellEnd"/>
  </w:p>
  <w:p w:rsidR="00CC003E" w:rsidRPr="00B54079" w:rsidRDefault="00CC003E" w:rsidP="00D22DEC">
    <w:pPr>
      <w:pStyle w:val="Kontakt"/>
      <w:rPr>
        <w:rFonts w:ascii="BrownStd Light" w:hAnsi="BrownStd Light"/>
        <w:b w:val="0"/>
        <w:w w:val="107"/>
      </w:rPr>
    </w:pPr>
    <w:r w:rsidRPr="00B54079">
      <w:rPr>
        <w:rFonts w:ascii="BrownStd Light" w:hAnsi="BrownStd Light"/>
        <w:b w:val="0"/>
        <w:w w:val="107"/>
      </w:rPr>
      <w:t xml:space="preserve">T +49 30 72001-246, </w:t>
    </w:r>
    <w:proofErr w:type="spellStart"/>
    <w:r w:rsidRPr="00B54079">
      <w:rPr>
        <w:rFonts w:ascii="BrownStd Light" w:hAnsi="BrownStd Light"/>
        <w:b w:val="0"/>
        <w:w w:val="107"/>
      </w:rPr>
      <w:t>m.schnabel@selux.de</w:t>
    </w:r>
    <w:proofErr w:type="spellEnd"/>
    <w:r w:rsidRPr="00B54079">
      <w:rPr>
        <w:rFonts w:ascii="BrownStd Light" w:hAnsi="BrownStd Light"/>
        <w:b w:val="0"/>
        <w:w w:val="107"/>
      </w:rPr>
      <w:t>, www.selux.com</w:t>
    </w:r>
  </w:p>
  <w:p w:rsidR="00CC003E" w:rsidRDefault="00CC003E">
    <w:pPr>
      <w:pStyle w:val="Fuzeile"/>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03E" w:rsidRPr="00C503D2" w:rsidRDefault="00CC003E" w:rsidP="00C503D2">
    <w:pPr>
      <w:pStyle w:val="Kopfzeile"/>
      <w:spacing w:before="320" w:after="0"/>
      <w:ind w:right="-1928"/>
      <w:jc w:val="right"/>
    </w:pPr>
    <w:r>
      <w:rPr>
        <w:noProof/>
        <w:lang w:eastAsia="de-DE"/>
      </w:rPr>
      <w:drawing>
        <wp:inline distT="0" distB="0" distL="0" distR="0">
          <wp:extent cx="1092200" cy="355600"/>
          <wp:effectExtent l="25400" t="0" r="0" b="0"/>
          <wp:docPr id="1" name="" descr="Selux_Logo_Schwarz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elux_Logo_Schwarz_K"/>
                  <pic:cNvPicPr>
                    <a:picLocks noChangeAspect="1" noChangeArrowheads="1"/>
                  </pic:cNvPicPr>
                </pic:nvPicPr>
                <ve:AlternateContent xmlns:ma="http://schemas.microsoft.com/office/mac/drawingml/2008/main">
                  <ve:Choice Requires="ma">
                    <pic:blipFill>
                      <a:blip r:embed="rId1"/>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2"/>
                      <a:srcRect/>
                      <a:stretch>
                        <a:fillRect/>
                      </a:stretch>
                    </pic:blipFill>
                  </ve:Fallback>
                </ve:AlternateContent>
                <pic:spPr bwMode="auto">
                  <a:xfrm>
                    <a:off x="0" y="0"/>
                    <a:ext cx="1092200" cy="3556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de-DE" w:vendorID="64" w:dllVersion="131078" w:nlCheck="1" w:checkStyle="1"/>
  <w:activeWritingStyle w:appName="MSWord" w:lang="fr-FR" w:vendorID="64" w:dllVersion="131078" w:nlCheck="1" w:checkStyle="1"/>
  <w:proofState w:spelling="clean"/>
  <w:attachedTemplate r:id="rId1"/>
  <w:doNotTrackMoves/>
  <w:defaultTabStop w:val="720"/>
  <w:hyphenationZone w:val="425"/>
  <w:doNotHyphenateCaps/>
  <w:characterSpacingControl w:val="doNotCompress"/>
  <w:hdrShapeDefaults>
    <o:shapedefaults v:ext="edit" spidmax="2050"/>
  </w:hdrShapeDefaults>
  <w:compat/>
  <w:rsids>
    <w:rsidRoot w:val="00D22DEC"/>
    <w:rsid w:val="00021811"/>
    <w:rsid w:val="00083E8C"/>
    <w:rsid w:val="00294E0B"/>
    <w:rsid w:val="002C69AB"/>
    <w:rsid w:val="002E4BFD"/>
    <w:rsid w:val="003D4575"/>
    <w:rsid w:val="003D67DA"/>
    <w:rsid w:val="00412AC6"/>
    <w:rsid w:val="00556923"/>
    <w:rsid w:val="0068374D"/>
    <w:rsid w:val="008672DF"/>
    <w:rsid w:val="008F5C10"/>
    <w:rsid w:val="0094010E"/>
    <w:rsid w:val="009E1A5D"/>
    <w:rsid w:val="00C13576"/>
    <w:rsid w:val="00C40EBF"/>
    <w:rsid w:val="00C503D2"/>
    <w:rsid w:val="00CC003E"/>
    <w:rsid w:val="00D22DEC"/>
    <w:rsid w:val="00D432F2"/>
    <w:rsid w:val="00F04F95"/>
    <w:rsid w:val="00F1620C"/>
    <w:rsid w:val="00F23321"/>
  </w:rsids>
  <m:mathPr>
    <m:mathFont m:val="Wingdings 2"/>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Arial Unicode MS" w:hAnsi="Cambria" w:cs="Times New Roman"/>
        <w:lang w:val="de-DE" w:eastAsia="de-DE" w:bidi="ar-SA"/>
      </w:rPr>
    </w:rPrDefault>
    <w:pPrDefault/>
  </w:docDefaults>
  <w:latentStyles w:defLockedState="0" w:defUIPriority="0" w:defSemiHidden="0" w:defUnhideWhenUsed="0" w:defQFormat="0" w:count="276"/>
  <w:style w:type="paragraph" w:default="1" w:styleId="Standard">
    <w:name w:val="Normal"/>
    <w:rsid w:val="00A14F7D"/>
    <w:pPr>
      <w:suppressAutoHyphens/>
      <w:spacing w:after="200" w:line="276" w:lineRule="auto"/>
    </w:pPr>
    <w:rPr>
      <w:rFonts w:ascii="Calibri" w:hAnsi="Calibri" w:cs="Calibri"/>
      <w:color w:val="00000A"/>
      <w:sz w:val="22"/>
      <w:szCs w:val="22"/>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rsid w:val="00B54079"/>
    <w:pPr>
      <w:tabs>
        <w:tab w:val="center" w:pos="4536"/>
        <w:tab w:val="right" w:pos="9072"/>
      </w:tabs>
    </w:pPr>
  </w:style>
  <w:style w:type="character" w:customStyle="1" w:styleId="KopfzeileZeichen">
    <w:name w:val="Kopfzeile Zeichen"/>
    <w:basedOn w:val="Absatzstandardschriftart"/>
    <w:link w:val="Kopfzeile"/>
    <w:rsid w:val="00B54079"/>
    <w:rPr>
      <w:rFonts w:ascii="Calibri" w:hAnsi="Calibri" w:cs="Calibri"/>
      <w:color w:val="00000A"/>
      <w:sz w:val="22"/>
      <w:szCs w:val="22"/>
      <w:lang w:eastAsia="en-US"/>
    </w:rPr>
  </w:style>
  <w:style w:type="paragraph" w:customStyle="1" w:styleId="Kontakt">
    <w:name w:val="Kontakt"/>
    <w:basedOn w:val="Teaser"/>
    <w:rsid w:val="00B54079"/>
    <w:pPr>
      <w:spacing w:after="0"/>
    </w:pPr>
  </w:style>
  <w:style w:type="paragraph" w:customStyle="1" w:styleId="Teaser">
    <w:name w:val="Teaser"/>
    <w:basedOn w:val="Standard"/>
    <w:uiPriority w:val="99"/>
    <w:rsid w:val="00B54079"/>
    <w:pPr>
      <w:suppressAutoHyphens w:val="0"/>
      <w:spacing w:after="260" w:line="260" w:lineRule="exact"/>
    </w:pPr>
    <w:rPr>
      <w:rFonts w:ascii="BrownStd" w:hAnsi="BrownStd"/>
      <w:b/>
      <w:iCs/>
      <w:sz w:val="20"/>
      <w:szCs w:val="20"/>
    </w:rPr>
  </w:style>
  <w:style w:type="paragraph" w:styleId="Fuzeile">
    <w:name w:val="footer"/>
    <w:basedOn w:val="Standard"/>
    <w:link w:val="FuzeileZeichen"/>
    <w:rsid w:val="00B54079"/>
    <w:pPr>
      <w:tabs>
        <w:tab w:val="center" w:pos="4536"/>
        <w:tab w:val="right" w:pos="9072"/>
      </w:tabs>
    </w:pPr>
  </w:style>
  <w:style w:type="character" w:customStyle="1" w:styleId="FuzeileZeichen">
    <w:name w:val="Fußzeile Zeichen"/>
    <w:basedOn w:val="Absatzstandardschriftart"/>
    <w:link w:val="Fuzeile"/>
    <w:rsid w:val="00B54079"/>
    <w:rPr>
      <w:rFonts w:ascii="Calibri" w:hAnsi="Calibri" w:cs="Calibri"/>
      <w:color w:val="00000A"/>
      <w:sz w:val="22"/>
      <w:szCs w:val="22"/>
      <w:lang w:eastAsia="en-US"/>
    </w:rPr>
  </w:style>
  <w:style w:type="paragraph" w:styleId="Beschriftung">
    <w:name w:val="caption"/>
    <w:basedOn w:val="Standard"/>
    <w:rsid w:val="00A14F7D"/>
    <w:pPr>
      <w:suppressLineNumbers/>
      <w:spacing w:before="120" w:after="120"/>
    </w:pPr>
    <w:rPr>
      <w:i/>
      <w:iCs/>
      <w:sz w:val="24"/>
      <w:szCs w:val="24"/>
    </w:rPr>
  </w:style>
  <w:style w:type="paragraph" w:customStyle="1" w:styleId="Fliess">
    <w:name w:val="Fliess"/>
    <w:basedOn w:val="Standard"/>
    <w:uiPriority w:val="99"/>
    <w:rsid w:val="00D22DEC"/>
    <w:pPr>
      <w:suppressAutoHyphens w:val="0"/>
      <w:spacing w:after="260" w:line="260" w:lineRule="exact"/>
    </w:pPr>
    <w:rPr>
      <w:rFonts w:ascii="BrownStd Light" w:hAnsi="BrownStd Light"/>
      <w:sz w:val="20"/>
      <w:szCs w:val="20"/>
    </w:rPr>
  </w:style>
  <w:style w:type="paragraph" w:customStyle="1" w:styleId="Head2">
    <w:name w:val="Head2"/>
    <w:basedOn w:val="Standard"/>
    <w:rsid w:val="0079798A"/>
    <w:pPr>
      <w:spacing w:before="260" w:after="160" w:line="260" w:lineRule="exact"/>
    </w:pPr>
    <w:rPr>
      <w:rFonts w:ascii="BrownStd" w:hAnsi="BrownStd"/>
      <w:b/>
      <w:bCs/>
      <w:sz w:val="20"/>
      <w:szCs w:val="20"/>
    </w:rPr>
  </w:style>
  <w:style w:type="paragraph" w:customStyle="1" w:styleId="head1">
    <w:name w:val="head1"/>
    <w:basedOn w:val="Standard"/>
    <w:uiPriority w:val="99"/>
    <w:rsid w:val="00D22DEC"/>
    <w:pPr>
      <w:widowControl w:val="0"/>
      <w:suppressAutoHyphens w:val="0"/>
      <w:autoSpaceDE w:val="0"/>
      <w:autoSpaceDN w:val="0"/>
      <w:adjustRightInd w:val="0"/>
      <w:spacing w:after="260" w:line="300" w:lineRule="atLeast"/>
      <w:textAlignment w:val="center"/>
    </w:pPr>
    <w:rPr>
      <w:rFonts w:ascii="BrownStd-Bold" w:hAnsi="BrownStd-Bold" w:cs="BrownStd-Bold"/>
      <w:b/>
      <w:bCs/>
      <w:color w:val="000000"/>
      <w:sz w:val="24"/>
      <w:szCs w:val="24"/>
      <w:lang w:eastAsia="de-DE"/>
    </w:rPr>
  </w:style>
  <w:style w:type="paragraph" w:customStyle="1" w:styleId="head20">
    <w:name w:val="head2"/>
    <w:basedOn w:val="Standard"/>
    <w:uiPriority w:val="99"/>
    <w:rsid w:val="00D22DEC"/>
    <w:pPr>
      <w:widowControl w:val="0"/>
      <w:autoSpaceDE w:val="0"/>
      <w:autoSpaceDN w:val="0"/>
      <w:adjustRightInd w:val="0"/>
      <w:spacing w:after="160" w:line="260" w:lineRule="atLeast"/>
      <w:textAlignment w:val="center"/>
    </w:pPr>
    <w:rPr>
      <w:rFonts w:ascii="BrownStd-Bold" w:hAnsi="BrownStd-Bold" w:cs="BrownStd-Bold"/>
      <w:b/>
      <w:bCs/>
      <w:color w:val="000000"/>
      <w:spacing w:val="2"/>
      <w:sz w:val="20"/>
      <w:szCs w:val="20"/>
      <w:lang w:eastAsia="de-DE"/>
    </w:rPr>
  </w:style>
  <w:style w:type="paragraph" w:customStyle="1" w:styleId="Fliessohne">
    <w:name w:val="Fliess_ohne"/>
    <w:basedOn w:val="Fliess"/>
    <w:uiPriority w:val="99"/>
    <w:rsid w:val="00D22DEC"/>
    <w:pPr>
      <w:widowControl w:val="0"/>
      <w:suppressAutoHyphens/>
      <w:autoSpaceDE w:val="0"/>
      <w:autoSpaceDN w:val="0"/>
      <w:adjustRightInd w:val="0"/>
      <w:spacing w:after="0" w:line="260" w:lineRule="atLeast"/>
      <w:textAlignment w:val="center"/>
    </w:pPr>
    <w:rPr>
      <w:rFonts w:ascii="BrownStd-Light" w:hAnsi="BrownStd-Light" w:cs="BrownStd-Light"/>
      <w:color w:val="000000"/>
      <w:spacing w:val="2"/>
      <w:lang w:eastAsia="de-DE"/>
    </w:rPr>
  </w:style>
  <w:style w:type="paragraph" w:customStyle="1" w:styleId="02Teaser">
    <w:name w:val="02_Teaser"/>
    <w:basedOn w:val="Standard"/>
    <w:uiPriority w:val="99"/>
    <w:rsid w:val="003D4575"/>
    <w:pPr>
      <w:widowControl w:val="0"/>
      <w:autoSpaceDE w:val="0"/>
      <w:autoSpaceDN w:val="0"/>
      <w:adjustRightInd w:val="0"/>
      <w:spacing w:before="283" w:after="0" w:line="260" w:lineRule="atLeast"/>
      <w:textAlignment w:val="center"/>
    </w:pPr>
    <w:rPr>
      <w:rFonts w:ascii="BrownStd-Bold" w:hAnsi="BrownStd-Bold" w:cs="BrownStd-Bold"/>
      <w:b/>
      <w:bCs/>
      <w:color w:val="000000"/>
      <w:spacing w:val="2"/>
      <w:sz w:val="20"/>
      <w:szCs w:val="20"/>
      <w:lang w:eastAsia="de-DE"/>
    </w:rPr>
  </w:style>
  <w:style w:type="paragraph" w:customStyle="1" w:styleId="00Fliess">
    <w:name w:val="00_Fliess"/>
    <w:basedOn w:val="Standard"/>
    <w:uiPriority w:val="99"/>
    <w:rsid w:val="003D4575"/>
    <w:pPr>
      <w:widowControl w:val="0"/>
      <w:suppressAutoHyphens w:val="0"/>
      <w:autoSpaceDE w:val="0"/>
      <w:autoSpaceDN w:val="0"/>
      <w:adjustRightInd w:val="0"/>
      <w:spacing w:before="170" w:after="0" w:line="260" w:lineRule="atLeast"/>
      <w:textAlignment w:val="center"/>
    </w:pPr>
    <w:rPr>
      <w:rFonts w:ascii="BrownStd-Light" w:hAnsi="BrownStd-Light" w:cs="BrownStd-Light"/>
      <w:color w:val="000000"/>
      <w:spacing w:val="2"/>
      <w:sz w:val="20"/>
      <w:szCs w:val="20"/>
      <w:lang w:eastAsia="de-DE"/>
    </w:rPr>
  </w:style>
  <w:style w:type="paragraph" w:styleId="Untertitel">
    <w:name w:val="Subtitle"/>
    <w:basedOn w:val="Standard"/>
    <w:link w:val="UntertitelZeichen"/>
    <w:rsid w:val="00F04F95"/>
    <w:pPr>
      <w:keepNext/>
      <w:suppressAutoHyphens w:val="0"/>
      <w:spacing w:before="240" w:after="120" w:line="240" w:lineRule="auto"/>
    </w:pPr>
    <w:rPr>
      <w:rFonts w:ascii="Liberation Sans" w:hAnsi="Liberation Sans" w:cs="Arial Unicode MS"/>
      <w:sz w:val="28"/>
      <w:szCs w:val="28"/>
      <w:lang w:val="en-GB" w:eastAsia="ja-JP"/>
    </w:rPr>
  </w:style>
  <w:style w:type="character" w:customStyle="1" w:styleId="UntertitelZeichen">
    <w:name w:val="Untertitel Zeichen"/>
    <w:basedOn w:val="Absatzstandardschriftart"/>
    <w:link w:val="Untertitel"/>
    <w:rsid w:val="00F04F95"/>
    <w:rPr>
      <w:rFonts w:ascii="Liberation Sans" w:hAnsi="Liberation Sans" w:cs="Arial Unicode MS"/>
      <w:color w:val="00000A"/>
      <w:sz w:val="28"/>
      <w:szCs w:val="28"/>
      <w:lang w:val="en-GB" w:eastAsia="ja-JP"/>
    </w:rPr>
  </w:style>
  <w:style w:type="paragraph" w:customStyle="1" w:styleId="01head1">
    <w:name w:val="01_head1"/>
    <w:basedOn w:val="Standard"/>
    <w:uiPriority w:val="99"/>
    <w:rsid w:val="00F04F95"/>
    <w:pPr>
      <w:widowControl w:val="0"/>
      <w:suppressAutoHyphens w:val="0"/>
      <w:autoSpaceDE w:val="0"/>
      <w:autoSpaceDN w:val="0"/>
      <w:adjustRightInd w:val="0"/>
      <w:spacing w:after="0" w:line="300" w:lineRule="atLeast"/>
      <w:textAlignment w:val="center"/>
    </w:pPr>
    <w:rPr>
      <w:rFonts w:ascii="BrownStd-Bold" w:hAnsi="BrownStd-Bold" w:cs="BrownStd-Bold"/>
      <w:b/>
      <w:bCs/>
      <w:color w:val="000000"/>
      <w:sz w:val="24"/>
      <w:szCs w:val="24"/>
      <w:lang w:eastAsia="de-D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df"/><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heiden:Library:Application%20Support:Microsoft:Office:Benutzervorlagen:Eigene%20Vorlagen:selux-presse_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selux-presse_de.dotx</Template>
  <TotalTime>0</TotalTime>
  <Pages>1</Pages>
  <Words>449</Words>
  <Characters>2425</Characters>
  <Application>Microsoft Macintosh Word</Application>
  <DocSecurity>0</DocSecurity>
  <Lines>41</Lines>
  <Paragraphs>7</Paragraphs>
  <ScaleCrop>false</ScaleCrop>
  <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2018-03-08T12:03:00Z</dcterms:created>
  <dcterms:modified xsi:type="dcterms:W3CDTF">2018-03-08T12:03:00Z</dcterms:modified>
  <dc:language>de-DE</dc:language>
</cp:coreProperties>
</file>