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42C94" w14:textId="77777777" w:rsidR="00D22DEC" w:rsidRPr="00294E0B" w:rsidRDefault="003D4575" w:rsidP="003D4575">
      <w:pPr>
        <w:pStyle w:val="head1"/>
      </w:pPr>
      <w:r w:rsidRPr="00294E0B">
        <w:t>Aira</w:t>
      </w:r>
      <w:r w:rsidR="00D22DEC" w:rsidRPr="00294E0B">
        <w:t xml:space="preserve"> – </w:t>
      </w:r>
      <w:r w:rsidRPr="00294E0B">
        <w:t>Transparentes Design – sichtbar überlegene Technik</w:t>
      </w:r>
    </w:p>
    <w:p w14:paraId="068EDEAB" w14:textId="77777777" w:rsidR="00BC12E8" w:rsidRDefault="00BC12E8" w:rsidP="00770191">
      <w:pPr>
        <w:widowControl w:val="0"/>
        <w:suppressAutoHyphens w:val="0"/>
        <w:autoSpaceDE w:val="0"/>
        <w:autoSpaceDN w:val="0"/>
        <w:adjustRightInd w:val="0"/>
        <w:spacing w:before="170" w:after="0" w:line="260" w:lineRule="atLeast"/>
        <w:textAlignment w:val="center"/>
        <w:rPr>
          <w:rFonts w:ascii="BrownStd-Bold" w:hAnsi="BrownStd-Bold" w:cs="BrownStd-Bold"/>
          <w:b/>
          <w:bCs/>
          <w:color w:val="000000"/>
          <w:spacing w:val="2"/>
          <w:sz w:val="20"/>
          <w:szCs w:val="20"/>
          <w:lang w:eastAsia="de-DE"/>
        </w:rPr>
      </w:pPr>
      <w:r w:rsidRPr="00BC12E8">
        <w:rPr>
          <w:rFonts w:ascii="BrownStd-Bold" w:hAnsi="BrownStd-Bold" w:cs="BrownStd-Bold"/>
          <w:b/>
          <w:bCs/>
          <w:color w:val="000000"/>
          <w:spacing w:val="2"/>
          <w:sz w:val="20"/>
          <w:szCs w:val="20"/>
          <w:lang w:eastAsia="de-DE"/>
        </w:rPr>
        <w:t>Einerseits fügen sie sich dank den archetypischen, reduzierten Formen ihres Designs nahtlos und diskret in jedes Umfeld ein – andererseits zeigen sie glasklar, wie innovativ ihre Lichtwirkung erzeugt wird: Aira heißen die neuen Mastaufsatzleuchten von Selux, die in Kugel- und Zylinderform erhältlich sind und die herausragenden lichttechnischen Eigenschaften der Tritec Module nutzen.</w:t>
      </w:r>
    </w:p>
    <w:p w14:paraId="320102BE" w14:textId="77777777" w:rsidR="00BC12E8" w:rsidRDefault="00BC12E8" w:rsidP="00770191">
      <w:pPr>
        <w:widowControl w:val="0"/>
        <w:autoSpaceDE w:val="0"/>
        <w:autoSpaceDN w:val="0"/>
        <w:adjustRightInd w:val="0"/>
        <w:spacing w:before="283" w:after="0" w:line="260" w:lineRule="atLeast"/>
        <w:textAlignment w:val="center"/>
        <w:rPr>
          <w:rFonts w:ascii="BrownStd-Light" w:hAnsi="BrownStd-Light" w:cs="BrownStd-Light"/>
          <w:color w:val="000000"/>
          <w:spacing w:val="2"/>
          <w:sz w:val="20"/>
          <w:szCs w:val="20"/>
          <w:lang w:eastAsia="de-DE"/>
        </w:rPr>
      </w:pPr>
      <w:r w:rsidRPr="00BC12E8">
        <w:rPr>
          <w:rFonts w:ascii="BrownStd-Light" w:hAnsi="BrownStd-Light" w:cs="BrownStd-Light"/>
          <w:color w:val="000000"/>
          <w:spacing w:val="2"/>
          <w:sz w:val="20"/>
          <w:szCs w:val="20"/>
          <w:lang w:eastAsia="de-DE"/>
        </w:rPr>
        <w:t xml:space="preserve">Leicht und transparent scheinen die klaren Abdeckungen in Kugel- oder Zylinderform rund um den Mastaufsatz der Aira zu schweben, denn ihre Befestigung ist durch eine in den transparenten Werkstoff integrierte Verschraubung besonders elegant und nahezu unsichtbar gelöst. Ihre innovative Technologie verbergen sie dabei nicht, denn durch die klaren PMMA-Abdeckungen kommt die brillante Ästhetik der eingesetzten Tritec Module optimal zur Geltung. Mit diesem minimalistischen Designkonzept integrieren sich die neuen Mastaufsatzleuchten von Selux in Umgebungen ganz unterschiedlichen Charakters: Von der Fußgängerzone über die Wohnstraße bis zur Parkanlage, vom Altstadtviertel bis zum Neubaugebiet. </w:t>
      </w:r>
    </w:p>
    <w:p w14:paraId="6BD2FB78" w14:textId="77777777" w:rsidR="00BC12E8" w:rsidRDefault="00BC12E8" w:rsidP="00770191">
      <w:pPr>
        <w:widowControl w:val="0"/>
        <w:suppressAutoHyphens w:val="0"/>
        <w:autoSpaceDE w:val="0"/>
        <w:autoSpaceDN w:val="0"/>
        <w:adjustRightInd w:val="0"/>
        <w:spacing w:before="170" w:after="0" w:line="260" w:lineRule="atLeast"/>
        <w:textAlignment w:val="center"/>
        <w:rPr>
          <w:rFonts w:ascii="BrownStd-Bold" w:hAnsi="BrownStd-Bold" w:cs="BrownStd-Bold"/>
          <w:b/>
          <w:bCs/>
          <w:color w:val="000000"/>
          <w:spacing w:val="2"/>
          <w:sz w:val="20"/>
          <w:szCs w:val="20"/>
          <w:lang w:eastAsia="de-DE"/>
        </w:rPr>
      </w:pPr>
      <w:r w:rsidRPr="00BC12E8">
        <w:rPr>
          <w:rFonts w:ascii="BrownStd-Bold" w:hAnsi="BrownStd-Bold" w:cs="BrownStd-Bold"/>
          <w:b/>
          <w:bCs/>
          <w:color w:val="000000"/>
          <w:spacing w:val="2"/>
          <w:sz w:val="20"/>
          <w:szCs w:val="20"/>
          <w:lang w:eastAsia="de-DE"/>
        </w:rPr>
        <w:t>Das Tritec Modul: lichttechnisches Herz und Designmerkmal zugleich</w:t>
      </w:r>
    </w:p>
    <w:p w14:paraId="18060DFD" w14:textId="7682BC50" w:rsidR="00770191" w:rsidRPr="00770191" w:rsidRDefault="00770191" w:rsidP="00770191">
      <w:pPr>
        <w:widowControl w:val="0"/>
        <w:suppressAutoHyphens w:val="0"/>
        <w:autoSpaceDE w:val="0"/>
        <w:autoSpaceDN w:val="0"/>
        <w:adjustRightInd w:val="0"/>
        <w:spacing w:before="170" w:after="0" w:line="260" w:lineRule="atLeast"/>
        <w:textAlignment w:val="center"/>
        <w:rPr>
          <w:rFonts w:ascii="BrownStd-Light" w:hAnsi="BrownStd-Light" w:cs="BrownStd-Light"/>
          <w:color w:val="000000"/>
          <w:spacing w:val="2"/>
          <w:sz w:val="20"/>
          <w:szCs w:val="20"/>
          <w:lang w:eastAsia="de-DE"/>
        </w:rPr>
      </w:pPr>
      <w:r w:rsidRPr="00770191">
        <w:rPr>
          <w:rFonts w:ascii="BrownStd-Light" w:hAnsi="BrownStd-Light" w:cs="BrownStd-Light"/>
          <w:color w:val="000000"/>
          <w:spacing w:val="2"/>
          <w:sz w:val="20"/>
          <w:szCs w:val="20"/>
          <w:lang w:eastAsia="de-DE"/>
        </w:rPr>
        <w:t xml:space="preserve">Die hocheffiziente LED-Lichttechnik der Tritec Module macht aus Aira ein variantenreiches </w:t>
      </w:r>
      <w:proofErr w:type="spellStart"/>
      <w:r w:rsidRPr="00770191">
        <w:rPr>
          <w:rFonts w:ascii="BrownStd-Light" w:hAnsi="BrownStd-Light" w:cs="BrownStd-Light"/>
          <w:color w:val="000000"/>
          <w:spacing w:val="2"/>
          <w:sz w:val="20"/>
          <w:szCs w:val="20"/>
          <w:lang w:eastAsia="de-DE"/>
        </w:rPr>
        <w:t>Leuchtensystem</w:t>
      </w:r>
      <w:proofErr w:type="spellEnd"/>
      <w:r w:rsidRPr="00770191">
        <w:rPr>
          <w:rFonts w:ascii="BrownStd-Light" w:hAnsi="BrownStd-Light" w:cs="BrownStd-Light"/>
          <w:color w:val="000000"/>
          <w:spacing w:val="2"/>
          <w:sz w:val="20"/>
          <w:szCs w:val="20"/>
          <w:lang w:eastAsia="de-DE"/>
        </w:rPr>
        <w:t xml:space="preserve"> für öffentliche Räume, das sich flexibel auf die jeweilige Anwendung abstimmen</w:t>
      </w:r>
      <w:r>
        <w:rPr>
          <w:rFonts w:ascii="BrownStd-Light" w:hAnsi="BrownStd-Light" w:cs="BrownStd-Light"/>
          <w:color w:val="000000"/>
          <w:spacing w:val="2"/>
          <w:sz w:val="20"/>
          <w:szCs w:val="20"/>
          <w:lang w:eastAsia="de-DE"/>
        </w:rPr>
        <w:t xml:space="preserve"> lässt. Die Tritec Module kombi</w:t>
      </w:r>
      <w:r w:rsidRPr="00770191">
        <w:rPr>
          <w:rFonts w:ascii="BrownStd-Light" w:hAnsi="BrownStd-Light" w:cs="BrownStd-Light"/>
          <w:color w:val="000000"/>
          <w:spacing w:val="2"/>
          <w:sz w:val="20"/>
          <w:szCs w:val="20"/>
          <w:lang w:eastAsia="de-DE"/>
        </w:rPr>
        <w:t xml:space="preserve">nieren </w:t>
      </w:r>
      <w:proofErr w:type="spellStart"/>
      <w:r w:rsidRPr="00770191">
        <w:rPr>
          <w:rFonts w:ascii="BrownStd-Light" w:hAnsi="BrownStd-Light" w:cs="BrownStd-Light"/>
          <w:color w:val="000000"/>
          <w:spacing w:val="2"/>
          <w:sz w:val="20"/>
          <w:szCs w:val="20"/>
          <w:lang w:eastAsia="de-DE"/>
        </w:rPr>
        <w:t>Prismenringlinsen</w:t>
      </w:r>
      <w:proofErr w:type="spellEnd"/>
      <w:r w:rsidRPr="00770191">
        <w:rPr>
          <w:rFonts w:ascii="BrownStd-Light" w:hAnsi="BrownStd-Light" w:cs="BrownStd-Light"/>
          <w:color w:val="000000"/>
          <w:spacing w:val="2"/>
          <w:sz w:val="20"/>
          <w:szCs w:val="20"/>
          <w:lang w:eastAsia="de-DE"/>
        </w:rPr>
        <w:t xml:space="preserve"> mit hexagonal strukturierten </w:t>
      </w:r>
      <w:proofErr w:type="spellStart"/>
      <w:r w:rsidRPr="00770191">
        <w:rPr>
          <w:rFonts w:ascii="BrownStd-Light" w:hAnsi="BrownStd-Light" w:cs="BrownStd-Light"/>
          <w:color w:val="000000"/>
          <w:spacing w:val="2"/>
          <w:sz w:val="20"/>
          <w:szCs w:val="20"/>
          <w:lang w:eastAsia="de-DE"/>
        </w:rPr>
        <w:t>Reflektorkegeln</w:t>
      </w:r>
      <w:proofErr w:type="spellEnd"/>
      <w:r w:rsidRPr="00770191">
        <w:rPr>
          <w:rFonts w:ascii="BrownStd-Light" w:hAnsi="BrownStd-Light" w:cs="BrownStd-Light"/>
          <w:color w:val="000000"/>
          <w:spacing w:val="2"/>
          <w:sz w:val="20"/>
          <w:szCs w:val="20"/>
          <w:lang w:eastAsia="de-DE"/>
        </w:rPr>
        <w:t xml:space="preserve"> für maximale </w:t>
      </w:r>
      <w:proofErr w:type="spellStart"/>
      <w:r w:rsidRPr="00770191">
        <w:rPr>
          <w:rFonts w:ascii="BrownStd-Light" w:hAnsi="BrownStd-Light" w:cs="BrownStd-Light"/>
          <w:color w:val="000000"/>
          <w:spacing w:val="2"/>
          <w:sz w:val="20"/>
          <w:szCs w:val="20"/>
          <w:lang w:eastAsia="de-DE"/>
        </w:rPr>
        <w:t>Entblendung</w:t>
      </w:r>
      <w:proofErr w:type="spellEnd"/>
      <w:r w:rsidRPr="00770191">
        <w:rPr>
          <w:rFonts w:ascii="BrownStd-Light" w:hAnsi="BrownStd-Light" w:cs="BrownStd-Light"/>
          <w:color w:val="000000"/>
          <w:spacing w:val="2"/>
          <w:sz w:val="20"/>
          <w:szCs w:val="20"/>
          <w:lang w:eastAsia="de-DE"/>
        </w:rPr>
        <w:t xml:space="preserve">. Sie bieten ein hochwertiges, eigenständiges Erscheinungsbild und erzeugen ausgewogene, weich auslaufende Lichtkegel. Dem Planer stehen eine </w:t>
      </w:r>
      <w:r w:rsidRPr="00770191">
        <w:rPr>
          <w:rFonts w:ascii="BrownStd-Light" w:hAnsi="BrownStd-Light" w:cs="BrownStd-Light"/>
          <w:color w:val="000000"/>
          <w:sz w:val="20"/>
          <w:szCs w:val="20"/>
          <w:lang w:eastAsia="de-DE"/>
        </w:rPr>
        <w:t>rundumstrahlende sowie eine asymmetrische</w:t>
      </w:r>
      <w:bookmarkStart w:id="0" w:name="_GoBack"/>
      <w:bookmarkEnd w:id="0"/>
      <w:r w:rsidRPr="00770191">
        <w:rPr>
          <w:rFonts w:ascii="BrownStd-Light" w:hAnsi="BrownStd-Light" w:cs="BrownStd-Light"/>
          <w:color w:val="000000"/>
          <w:sz w:val="20"/>
          <w:szCs w:val="20"/>
          <w:lang w:eastAsia="de-DE"/>
        </w:rPr>
        <w:t xml:space="preserve"> Lichtverteilung</w:t>
      </w:r>
      <w:r w:rsidRPr="00770191">
        <w:rPr>
          <w:rFonts w:ascii="BrownStd-Light" w:hAnsi="BrownStd-Light" w:cs="BrownStd-Light"/>
          <w:color w:val="000000"/>
          <w:spacing w:val="2"/>
          <w:sz w:val="20"/>
          <w:szCs w:val="20"/>
          <w:lang w:eastAsia="de-DE"/>
        </w:rPr>
        <w:t xml:space="preserve"> </w:t>
      </w:r>
      <w:r w:rsidRPr="00770191">
        <w:rPr>
          <w:rFonts w:ascii="BrownStd-Light" w:hAnsi="BrownStd-Light" w:cs="BrownStd-Light"/>
          <w:color w:val="000000"/>
          <w:sz w:val="20"/>
          <w:szCs w:val="20"/>
          <w:lang w:eastAsia="de-DE"/>
        </w:rPr>
        <w:t>zur Verfügung, sodass sich Aira zur gleichmäßigen Ausleuchtung von Freiflächen</w:t>
      </w:r>
      <w:r w:rsidRPr="00770191">
        <w:rPr>
          <w:rFonts w:ascii="BrownStd-Light" w:hAnsi="BrownStd-Light" w:cs="BrownStd-Light"/>
          <w:color w:val="000000"/>
          <w:spacing w:val="2"/>
          <w:sz w:val="20"/>
          <w:szCs w:val="20"/>
          <w:lang w:eastAsia="de-DE"/>
        </w:rPr>
        <w:t xml:space="preserve"> ebenso gut eignet wie zur begleitenden Beleuchtung von Wegen und Straßen. </w:t>
      </w:r>
    </w:p>
    <w:p w14:paraId="3B53679F" w14:textId="77777777" w:rsidR="00770191" w:rsidRPr="00770191" w:rsidRDefault="00770191" w:rsidP="00770191">
      <w:pPr>
        <w:widowControl w:val="0"/>
        <w:autoSpaceDE w:val="0"/>
        <w:autoSpaceDN w:val="0"/>
        <w:adjustRightInd w:val="0"/>
        <w:spacing w:before="283" w:after="0" w:line="260" w:lineRule="atLeast"/>
        <w:textAlignment w:val="center"/>
        <w:rPr>
          <w:rFonts w:ascii="BrownStd-Bold" w:hAnsi="BrownStd-Bold" w:cs="BrownStd-Bold"/>
          <w:b/>
          <w:bCs/>
          <w:color w:val="000000"/>
          <w:spacing w:val="2"/>
          <w:sz w:val="20"/>
          <w:szCs w:val="20"/>
          <w:lang w:eastAsia="de-DE"/>
        </w:rPr>
      </w:pPr>
      <w:r w:rsidRPr="00770191">
        <w:rPr>
          <w:rFonts w:ascii="BrownStd-Bold" w:hAnsi="BrownStd-Bold" w:cs="BrownStd-Bold"/>
          <w:b/>
          <w:bCs/>
          <w:color w:val="000000"/>
          <w:spacing w:val="2"/>
          <w:sz w:val="20"/>
          <w:szCs w:val="20"/>
          <w:lang w:eastAsia="de-DE"/>
        </w:rPr>
        <w:t>Flexibel in Planung und Anwendung</w:t>
      </w:r>
    </w:p>
    <w:p w14:paraId="09BB07E5" w14:textId="77777777" w:rsidR="00BC12E8" w:rsidRDefault="00BC12E8" w:rsidP="00770191">
      <w:pPr>
        <w:widowControl w:val="0"/>
        <w:autoSpaceDE w:val="0"/>
        <w:autoSpaceDN w:val="0"/>
        <w:adjustRightInd w:val="0"/>
        <w:spacing w:before="283" w:after="0" w:line="260" w:lineRule="atLeast"/>
        <w:textAlignment w:val="center"/>
        <w:rPr>
          <w:rFonts w:ascii="BrownStd-Light" w:hAnsi="BrownStd-Light" w:cs="BrownStd-Light"/>
          <w:color w:val="000000"/>
          <w:spacing w:val="2"/>
          <w:sz w:val="20"/>
          <w:szCs w:val="20"/>
          <w:lang w:eastAsia="de-DE"/>
        </w:rPr>
      </w:pPr>
      <w:r w:rsidRPr="00BC12E8">
        <w:rPr>
          <w:rFonts w:ascii="BrownStd-Light" w:hAnsi="BrownStd-Light" w:cs="BrownStd-Light"/>
          <w:color w:val="000000"/>
          <w:spacing w:val="2"/>
          <w:sz w:val="20"/>
          <w:szCs w:val="20"/>
          <w:lang w:eastAsia="de-DE"/>
        </w:rPr>
        <w:t>Ein weiterer Vorteil der Tritec Module ist ihre Skalierbarkeit. So sind Aira je nach den Anforderungen an Lichtstrom und Beleuchtungsstärken mit einem oder zwei Tritec Modulen ausgestattet und decken damit einen Bereich von 1.200 lm bis 5.400 lm ab. Abhängig vom Charakter der Umgebung und der gewünschten Lichtatmosphäre liefert Selux die Tritec Module in den Lichtfarben 3.000 K sowie 4.000 K. Das Selux Programm umfasst mit den Elo Pollern und den Lif Lichtstelen zwei weitere Produktsysteme mit Tritec Modulen, die sich hervorragend mit Aira Mastaufsatzleuchten kombinieren lassen. So lassen sich auch komplexe Beleuchtungsprojekte im urbanen Umfeld technisch und gestalterisch durchgängig lösen.</w:t>
      </w:r>
    </w:p>
    <w:p w14:paraId="672A9A74" w14:textId="77777777" w:rsidR="00BC12E8" w:rsidRDefault="00770191" w:rsidP="00BC12E8">
      <w:pPr>
        <w:widowControl w:val="0"/>
        <w:autoSpaceDE w:val="0"/>
        <w:autoSpaceDN w:val="0"/>
        <w:adjustRightInd w:val="0"/>
        <w:spacing w:before="283" w:after="0" w:line="260" w:lineRule="atLeast"/>
        <w:textAlignment w:val="center"/>
        <w:rPr>
          <w:rFonts w:ascii="BrownStd-Bold" w:hAnsi="BrownStd-Bold" w:cs="BrownStd-Bold"/>
          <w:b/>
          <w:bCs/>
          <w:color w:val="000000"/>
          <w:spacing w:val="2"/>
          <w:sz w:val="20"/>
          <w:szCs w:val="20"/>
          <w:lang w:eastAsia="de-DE"/>
        </w:rPr>
      </w:pPr>
      <w:r w:rsidRPr="00770191">
        <w:rPr>
          <w:rFonts w:ascii="BrownStd-Bold" w:hAnsi="BrownStd-Bold" w:cs="BrownStd-Bold"/>
          <w:b/>
          <w:bCs/>
          <w:color w:val="000000"/>
          <w:spacing w:val="2"/>
          <w:sz w:val="20"/>
          <w:szCs w:val="20"/>
          <w:lang w:eastAsia="de-DE"/>
        </w:rPr>
        <w:t>Qualitätsprodukt mit individueller Note</w:t>
      </w:r>
    </w:p>
    <w:p w14:paraId="6874522B" w14:textId="77777777" w:rsidR="00BC12E8" w:rsidRPr="00BC12E8" w:rsidRDefault="00BC12E8" w:rsidP="00BC12E8">
      <w:pPr>
        <w:widowControl w:val="0"/>
        <w:autoSpaceDE w:val="0"/>
        <w:autoSpaceDN w:val="0"/>
        <w:adjustRightInd w:val="0"/>
        <w:spacing w:before="283" w:after="0" w:line="260" w:lineRule="atLeast"/>
        <w:textAlignment w:val="center"/>
        <w:rPr>
          <w:rFonts w:ascii="BrownStd-Bold" w:hAnsi="BrownStd-Bold" w:cs="BrownStd-Bold"/>
          <w:b/>
          <w:bCs/>
          <w:color w:val="000000"/>
          <w:spacing w:val="2"/>
          <w:sz w:val="20"/>
          <w:szCs w:val="20"/>
          <w:lang w:eastAsia="de-DE"/>
        </w:rPr>
      </w:pPr>
      <w:r w:rsidRPr="00BC12E8">
        <w:rPr>
          <w:rFonts w:ascii="BrownStd-Light" w:hAnsi="BrownStd-Light" w:cs="BrownStd-Light"/>
          <w:color w:val="000000"/>
          <w:lang w:eastAsia="de-DE"/>
        </w:rPr>
        <w:t xml:space="preserve">Selbstverständlich entspricht Aira in Material und Ausführung den hohen </w:t>
      </w:r>
      <w:r w:rsidRPr="00BC12E8">
        <w:rPr>
          <w:rFonts w:ascii="BrownStd-Light" w:hAnsi="BrownStd-Light" w:cs="BrownStd-Light"/>
          <w:color w:val="000000"/>
          <w:lang w:eastAsia="de-DE"/>
        </w:rPr>
        <w:lastRenderedPageBreak/>
        <w:t>Qualitätsstandards von Selux, sodass die Anwender einen gewohnt zuverlässigen und dauerhaft wirtschaftlichen Betrieb der Leuchten als Gestaltungselemente im öffentlichen Raum erwarten dürfen. Beide Modelle sind wahlweise mit 60 mm ode</w:t>
      </w:r>
      <w:r>
        <w:rPr>
          <w:rFonts w:ascii="BrownStd-Light" w:hAnsi="BrownStd-Light" w:cs="BrownStd-Light"/>
          <w:color w:val="000000"/>
          <w:lang w:eastAsia="de-DE"/>
        </w:rPr>
        <w:t xml:space="preserve">r 76 mm </w:t>
      </w:r>
      <w:proofErr w:type="spellStart"/>
      <w:r>
        <w:rPr>
          <w:rFonts w:ascii="BrownStd-Light" w:hAnsi="BrownStd-Light" w:cs="BrownStd-Light"/>
          <w:color w:val="000000"/>
          <w:lang w:eastAsia="de-DE"/>
        </w:rPr>
        <w:t>Zopfmaß</w:t>
      </w:r>
      <w:proofErr w:type="spellEnd"/>
      <w:r w:rsidRPr="00BC12E8">
        <w:rPr>
          <w:rFonts w:ascii="BrownStd-Light" w:hAnsi="BrownStd-Light" w:cs="BrownStd-Light"/>
          <w:color w:val="000000"/>
          <w:lang w:eastAsia="de-DE"/>
        </w:rPr>
        <w:t xml:space="preserve"> erhältlich. Die Betriebsgeräte der Tritec Module sind auf Wunsch via DALI-Schnittstelle schalt- und dimmbar: So kann das Licht durch den Einsatz intelligenter Steuerungen bedarfsgerecht, individuell und präzise geregelt werden, um zusätzlich Energie zu sparen.</w:t>
      </w:r>
    </w:p>
    <w:p w14:paraId="51812964" w14:textId="77777777" w:rsidR="00770191" w:rsidRDefault="00BC12E8" w:rsidP="00770191">
      <w:pPr>
        <w:pStyle w:val="Fliess"/>
        <w:spacing w:before="160"/>
        <w:rPr>
          <w:rFonts w:ascii="BrownStd-Light" w:hAnsi="BrownStd-Light" w:cs="BrownStd-Light"/>
          <w:color w:val="000000"/>
          <w:spacing w:val="2"/>
          <w:lang w:eastAsia="de-DE"/>
        </w:rPr>
      </w:pPr>
      <w:r w:rsidRPr="00BC12E8">
        <w:rPr>
          <w:rFonts w:ascii="BrownStd-Light" w:hAnsi="BrownStd-Light" w:cs="BrownStd-Light"/>
          <w:color w:val="000000"/>
          <w:lang w:eastAsia="de-DE"/>
        </w:rPr>
        <w:t xml:space="preserve">Darüber hinaus bietet Aira vielfältige Möglichkeiten der Individualisierung, zum Beispiel im Rahmen von kommunalen Farb- oder Corporate-Design-Konzepten: die klaren </w:t>
      </w:r>
      <w:proofErr w:type="spellStart"/>
      <w:r w:rsidRPr="00BC12E8">
        <w:rPr>
          <w:rFonts w:ascii="BrownStd-Light" w:hAnsi="BrownStd-Light" w:cs="BrownStd-Light"/>
          <w:color w:val="000000"/>
          <w:lang w:eastAsia="de-DE"/>
        </w:rPr>
        <w:t>Leuchtenabdeckungen</w:t>
      </w:r>
      <w:proofErr w:type="spellEnd"/>
      <w:r w:rsidRPr="00BC12E8">
        <w:rPr>
          <w:rFonts w:ascii="BrownStd-Light" w:hAnsi="BrownStd-Light" w:cs="BrownStd-Light"/>
          <w:color w:val="000000"/>
          <w:lang w:eastAsia="de-DE"/>
        </w:rPr>
        <w:t xml:space="preserve"> lassen sich durch Bedruckungen individuell grafisch gestalten, Leuchte und Mast sind zusätzlich zu den Selux Standardfarben Grau, Anthrazit und Schwarz auch in Wunschfarben erhältlich und So unterstützt Aira von Selux Planer, Bauherren und kommunale Entscheider dabei, öffentliche Räume zukunftssicher und unverwechselbar mit Licht zu gestalten.</w:t>
      </w:r>
    </w:p>
    <w:p w14:paraId="631DBF23" w14:textId="77777777" w:rsidR="002E4BFD" w:rsidRDefault="002E4BFD" w:rsidP="00770191">
      <w:pPr>
        <w:pStyle w:val="Fliess"/>
        <w:spacing w:before="160"/>
        <w:rPr>
          <w:rFonts w:ascii="BrownStd-Light" w:hAnsi="BrownStd-Light" w:cs="BrownStd-Light"/>
          <w:color w:val="000000"/>
          <w:lang w:eastAsia="de-DE"/>
        </w:rPr>
      </w:pPr>
    </w:p>
    <w:p w14:paraId="073A8B71" w14:textId="77777777" w:rsidR="00D22DEC" w:rsidRPr="00294E0B" w:rsidRDefault="00BC12E8" w:rsidP="00F1620C">
      <w:pPr>
        <w:pStyle w:val="Fliess"/>
        <w:spacing w:before="160"/>
      </w:pPr>
      <w:r>
        <w:rPr>
          <w:rFonts w:ascii="BrownStd-Light" w:hAnsi="BrownStd-Light" w:cs="BrownStd-Light"/>
          <w:color w:val="000000"/>
          <w:lang w:eastAsia="de-DE"/>
        </w:rPr>
        <w:t>Juni</w:t>
      </w:r>
      <w:r w:rsidR="002E4BFD">
        <w:rPr>
          <w:rFonts w:ascii="BrownStd-Light" w:hAnsi="BrownStd-Light" w:cs="BrownStd-Light"/>
          <w:color w:val="000000"/>
          <w:lang w:eastAsia="de-DE"/>
        </w:rPr>
        <w:t xml:space="preserve"> 2018</w:t>
      </w:r>
    </w:p>
    <w:sectPr w:rsidR="00D22DEC" w:rsidRPr="00294E0B" w:rsidSect="00CC003E">
      <w:headerReference w:type="default" r:id="rId7"/>
      <w:footerReference w:type="default" r:id="rId8"/>
      <w:pgSz w:w="11906" w:h="16838"/>
      <w:pgMar w:top="1985" w:right="3119" w:bottom="2268" w:left="1418" w:header="284" w:footer="28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2E301" w14:textId="77777777" w:rsidR="003277C6" w:rsidRDefault="003277C6">
      <w:pPr>
        <w:spacing w:after="0" w:line="240" w:lineRule="auto"/>
      </w:pPr>
      <w:r>
        <w:separator/>
      </w:r>
    </w:p>
  </w:endnote>
  <w:endnote w:type="continuationSeparator" w:id="0">
    <w:p w14:paraId="0689093A" w14:textId="77777777" w:rsidR="003277C6" w:rsidRDefault="0032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nStd">
    <w:panose1 w:val="00010500010101010101"/>
    <w:charset w:val="00"/>
    <w:family w:val="modern"/>
    <w:notTrueType/>
    <w:pitch w:val="variable"/>
    <w:sig w:usb0="800000AF" w:usb1="4000206B" w:usb2="00000000" w:usb3="00000000" w:csb0="00000001" w:csb1="00000000"/>
  </w:font>
  <w:font w:name="BrownStd Light">
    <w:panose1 w:val="00010400010101010101"/>
    <w:charset w:val="00"/>
    <w:family w:val="modern"/>
    <w:notTrueType/>
    <w:pitch w:val="variable"/>
    <w:sig w:usb0="800000AF" w:usb1="4000206B"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10400010101010101"/>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1157" w14:textId="77777777"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Herstellerkontakt: </w:t>
    </w:r>
  </w:p>
  <w:p w14:paraId="7133F458" w14:textId="77777777"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Manuela Schnabel, Leitung Marketing / Kommunikation</w:t>
    </w:r>
  </w:p>
  <w:p w14:paraId="7131C795" w14:textId="77777777"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 xml:space="preserve">Selux AG, </w:t>
    </w:r>
    <w:proofErr w:type="spellStart"/>
    <w:r w:rsidRPr="00B54079">
      <w:rPr>
        <w:rFonts w:ascii="BrownStd Light" w:hAnsi="BrownStd Light"/>
        <w:b w:val="0"/>
        <w:w w:val="107"/>
      </w:rPr>
      <w:t>Motzener</w:t>
    </w:r>
    <w:proofErr w:type="spellEnd"/>
    <w:r w:rsidRPr="00B54079">
      <w:rPr>
        <w:rFonts w:ascii="BrownStd Light" w:hAnsi="BrownStd Light"/>
        <w:b w:val="0"/>
        <w:w w:val="107"/>
      </w:rPr>
      <w:t xml:space="preserve"> Straße 34, 12277 Berlin, Deutschland</w:t>
    </w:r>
  </w:p>
  <w:p w14:paraId="1DC28376" w14:textId="77777777" w:rsidR="00CC003E" w:rsidRPr="00B54079" w:rsidRDefault="00CC003E" w:rsidP="00D22DEC">
    <w:pPr>
      <w:pStyle w:val="Kontakt"/>
      <w:rPr>
        <w:rFonts w:ascii="BrownStd Light" w:hAnsi="BrownStd Light"/>
        <w:b w:val="0"/>
        <w:w w:val="107"/>
      </w:rPr>
    </w:pPr>
    <w:r w:rsidRPr="00B54079">
      <w:rPr>
        <w:rFonts w:ascii="BrownStd Light" w:hAnsi="BrownStd Light"/>
        <w:b w:val="0"/>
        <w:w w:val="107"/>
      </w:rPr>
      <w:t>T +49 30 72001-246, m.schnabel@selux.de, www.selux.com</w:t>
    </w:r>
  </w:p>
  <w:p w14:paraId="4A3A01BC" w14:textId="77777777" w:rsidR="00CC003E" w:rsidRDefault="00CC00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C46DF" w14:textId="77777777" w:rsidR="003277C6" w:rsidRDefault="003277C6">
      <w:pPr>
        <w:spacing w:after="0" w:line="240" w:lineRule="auto"/>
      </w:pPr>
      <w:r>
        <w:separator/>
      </w:r>
    </w:p>
  </w:footnote>
  <w:footnote w:type="continuationSeparator" w:id="0">
    <w:p w14:paraId="12C996D5" w14:textId="77777777" w:rsidR="003277C6" w:rsidRDefault="00327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DBEA3" w14:textId="77777777" w:rsidR="00CC003E" w:rsidRPr="00C503D2" w:rsidRDefault="00CC003E" w:rsidP="00C503D2">
    <w:pPr>
      <w:pStyle w:val="Kopfzeile"/>
      <w:spacing w:before="320" w:after="0"/>
      <w:ind w:right="-1928"/>
      <w:jc w:val="right"/>
    </w:pPr>
    <w:r>
      <w:rPr>
        <w:noProof/>
        <w:lang w:eastAsia="de-DE"/>
      </w:rPr>
      <w:drawing>
        <wp:inline distT="0" distB="0" distL="0" distR="0" wp14:anchorId="2906F108" wp14:editId="0A5980DF">
          <wp:extent cx="1092200" cy="355600"/>
          <wp:effectExtent l="25400" t="0" r="0" b="0"/>
          <wp:docPr id="1" name="Bild 1"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pic:blipFill>
                  <a:blip r:embed="rId1"/>
                  <a:srcRect/>
                  <a:stretch>
                    <a:fillRect/>
                  </a:stretch>
                </pic:blipFill>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131078" w:nlCheck="1" w:checkStyle="0"/>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EC"/>
    <w:rsid w:val="00021811"/>
    <w:rsid w:val="00027DD8"/>
    <w:rsid w:val="00294E0B"/>
    <w:rsid w:val="002C69AB"/>
    <w:rsid w:val="002E4BFD"/>
    <w:rsid w:val="003277C6"/>
    <w:rsid w:val="003D4575"/>
    <w:rsid w:val="003D67DA"/>
    <w:rsid w:val="00412AC6"/>
    <w:rsid w:val="00556923"/>
    <w:rsid w:val="005C2FFC"/>
    <w:rsid w:val="00770191"/>
    <w:rsid w:val="008B3B47"/>
    <w:rsid w:val="0094010E"/>
    <w:rsid w:val="009E1A5D"/>
    <w:rsid w:val="00BC12E8"/>
    <w:rsid w:val="00C503D2"/>
    <w:rsid w:val="00CC003E"/>
    <w:rsid w:val="00D22DEC"/>
    <w:rsid w:val="00F1620C"/>
    <w:rsid w:val="00F23321"/>
    <w:rsid w:val="00F44EB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4079"/>
    <w:pPr>
      <w:tabs>
        <w:tab w:val="center" w:pos="4536"/>
        <w:tab w:val="right" w:pos="9072"/>
      </w:tabs>
    </w:pPr>
  </w:style>
  <w:style w:type="character" w:customStyle="1" w:styleId="KopfzeileZchn">
    <w:name w:val="Kopfzeile Zch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chn"/>
    <w:rsid w:val="00B54079"/>
    <w:pPr>
      <w:tabs>
        <w:tab w:val="center" w:pos="4536"/>
        <w:tab w:val="right" w:pos="9072"/>
      </w:tabs>
    </w:pPr>
  </w:style>
  <w:style w:type="character" w:customStyle="1" w:styleId="FuzeileZchn">
    <w:name w:val="Fußzeile Zch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Sprechblasentext">
    <w:name w:val="Balloon Text"/>
    <w:basedOn w:val="Standard"/>
    <w:link w:val="SprechblasentextZchn"/>
    <w:semiHidden/>
    <w:unhideWhenUsed/>
    <w:rsid w:val="008B3B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8B3B47"/>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Arial Unicode MS" w:hAnsi="Cambria" w:cs="Times New Roman"/>
        <w:lang w:val="de-DE" w:eastAsia="de-DE"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54079"/>
    <w:pPr>
      <w:tabs>
        <w:tab w:val="center" w:pos="4536"/>
        <w:tab w:val="right" w:pos="9072"/>
      </w:tabs>
    </w:pPr>
  </w:style>
  <w:style w:type="character" w:customStyle="1" w:styleId="KopfzeileZchn">
    <w:name w:val="Kopfzeile Zch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chn"/>
    <w:rsid w:val="00B54079"/>
    <w:pPr>
      <w:tabs>
        <w:tab w:val="center" w:pos="4536"/>
        <w:tab w:val="right" w:pos="9072"/>
      </w:tabs>
    </w:pPr>
  </w:style>
  <w:style w:type="character" w:customStyle="1" w:styleId="FuzeileZchn">
    <w:name w:val="Fußzeile Zch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Sprechblasentext">
    <w:name w:val="Balloon Text"/>
    <w:basedOn w:val="Standard"/>
    <w:link w:val="SprechblasentextZchn"/>
    <w:semiHidden/>
    <w:unhideWhenUsed/>
    <w:rsid w:val="008B3B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8B3B47"/>
    <w:rPr>
      <w:rFonts w:ascii="Tahoma" w:hAnsi="Tahoma" w:cs="Tahoma"/>
      <w:color w:val="00000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3256</Characters>
  <Application>Microsoft Office Word</Application>
  <DocSecurity>0</DocSecurity>
  <Lines>27</Lines>
  <Paragraphs>7</Paragraphs>
  <ScaleCrop>false</ScaleCrop>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Wissmann</dc:creator>
  <cp:keywords/>
  <cp:lastModifiedBy>Voß, Oliver</cp:lastModifiedBy>
  <cp:revision>3</cp:revision>
  <dcterms:created xsi:type="dcterms:W3CDTF">2018-06-01T08:23:00Z</dcterms:created>
  <dcterms:modified xsi:type="dcterms:W3CDTF">2018-06-12T14:38:00Z</dcterms:modified>
  <dc:language>de-DE</dc:language>
</cp:coreProperties>
</file>